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166" w:rsidRDefault="00E0650B" w:rsidP="007E26D3">
      <w:pPr>
        <w:pStyle w:val="Title"/>
        <w:ind w:hanging="709"/>
      </w:pPr>
      <w:bookmarkStart w:id="0" w:name="ReportTitle"/>
      <w:r>
        <w:t>T</w:t>
      </w:r>
      <w:r w:rsidR="00CB0813">
        <w:t>ertiary education enrolments 20</w:t>
      </w:r>
      <w:r w:rsidR="00933737">
        <w:t>13</w:t>
      </w:r>
      <w:bookmarkEnd w:id="0"/>
    </w:p>
    <w:p w:rsidR="00AF0321" w:rsidRPr="000045D2" w:rsidRDefault="00AF0321" w:rsidP="00072166">
      <w:pPr>
        <w:pStyle w:val="Titlesub"/>
      </w:pPr>
    </w:p>
    <w:p w:rsidR="00ED68DB" w:rsidRPr="000045D2" w:rsidRDefault="00ED68DB" w:rsidP="002F7F68"/>
    <w:p w:rsidR="002F7F68" w:rsidRDefault="002F7F68" w:rsidP="00B675AF">
      <w:pPr>
        <w:sectPr w:rsidR="002F7F68" w:rsidSect="004D3BB4">
          <w:headerReference w:type="default" r:id="rId9"/>
          <w:type w:val="continuous"/>
          <w:pgSz w:w="11906" w:h="16838" w:code="9"/>
          <w:pgMar w:top="1418" w:right="624" w:bottom="4536" w:left="1701" w:header="709" w:footer="709" w:gutter="0"/>
          <w:pgNumType w:start="1"/>
          <w:cols w:space="708"/>
          <w:vAlign w:val="bottom"/>
          <w:docGrid w:linePitch="360"/>
        </w:sectPr>
      </w:pPr>
    </w:p>
    <w:p w:rsidR="00ED68DB" w:rsidRPr="004D1E17" w:rsidRDefault="00ED68DB" w:rsidP="002017C1">
      <w:pPr>
        <w:pStyle w:val="Insidecover"/>
      </w:pPr>
      <w:r w:rsidRPr="004D1E17">
        <w:lastRenderedPageBreak/>
        <w:t>This report forms part of a series called L</w:t>
      </w:r>
      <w:r w:rsidR="00CB0813">
        <w:t>earners in tertiary education.</w:t>
      </w:r>
    </w:p>
    <w:p w:rsidR="00ED68DB" w:rsidRPr="006511DE" w:rsidRDefault="00ED68DB" w:rsidP="004D1E17">
      <w:pPr>
        <w:pStyle w:val="Insidecover"/>
      </w:pPr>
      <w:r w:rsidRPr="006511DE">
        <w:t>Other topics covered by the series are access, pathways, s</w:t>
      </w:r>
      <w:r w:rsidR="00CB0813">
        <w:t>tudent s</w:t>
      </w:r>
      <w:r w:rsidRPr="006511DE">
        <w:t>upport,</w:t>
      </w:r>
      <w:r w:rsidR="004C515F">
        <w:t xml:space="preserve"> </w:t>
      </w:r>
      <w:r w:rsidRPr="006511DE">
        <w:t xml:space="preserve">participation, </w:t>
      </w:r>
      <w:proofErr w:type="gramStart"/>
      <w:r w:rsidRPr="006511DE">
        <w:t>retention</w:t>
      </w:r>
      <w:proofErr w:type="gramEnd"/>
      <w:r w:rsidRPr="006511DE">
        <w:t xml:space="preserve"> and qualification completions.</w:t>
      </w:r>
    </w:p>
    <w:p w:rsidR="00CB0813" w:rsidRDefault="00CB0813" w:rsidP="00CB0813">
      <w:pPr>
        <w:pStyle w:val="Insidecover"/>
        <w:spacing w:before="720"/>
      </w:pPr>
      <w:r w:rsidRPr="006511DE">
        <w:rPr>
          <w:b/>
        </w:rPr>
        <w:t>Author</w:t>
      </w:r>
    </w:p>
    <w:p w:rsidR="00CB0813" w:rsidRDefault="00CB0813" w:rsidP="00CB0813">
      <w:pPr>
        <w:pStyle w:val="Insidecover"/>
      </w:pPr>
      <w:smartTag w:uri="urn:schemas-microsoft-com:office:smarttags" w:element="PersonName">
        <w:r>
          <w:t>Mieke Wensvoort</w:t>
        </w:r>
      </w:smartTag>
      <w:r w:rsidRPr="006511DE">
        <w:t xml:space="preserve">, </w:t>
      </w:r>
      <w:r>
        <w:t>Senior Analyst</w:t>
      </w:r>
    </w:p>
    <w:p w:rsidR="00CB0813" w:rsidRPr="008C48F6" w:rsidRDefault="00CB0813" w:rsidP="00CB0813">
      <w:pPr>
        <w:pStyle w:val="Insidecover"/>
        <w:rPr>
          <w:lang w:val="en-GB"/>
        </w:rPr>
      </w:pPr>
      <w:r w:rsidRPr="008C48F6">
        <w:rPr>
          <w:lang w:val="en-GB"/>
        </w:rPr>
        <w:t xml:space="preserve">Email: </w:t>
      </w:r>
      <w:r>
        <w:rPr>
          <w:lang w:val="en-GB"/>
        </w:rPr>
        <w:t xml:space="preserve"> mieke.wensvoort</w:t>
      </w:r>
      <w:r w:rsidRPr="008C48F6">
        <w:rPr>
          <w:lang w:val="en-GB"/>
        </w:rPr>
        <w:t>@minedu.govt.nz</w:t>
      </w:r>
    </w:p>
    <w:p w:rsidR="00CB0813" w:rsidRPr="008C48F6" w:rsidRDefault="00CB0813" w:rsidP="00CB0813">
      <w:pPr>
        <w:pStyle w:val="Insidecover"/>
        <w:rPr>
          <w:lang w:val="en-GB"/>
        </w:rPr>
      </w:pPr>
      <w:r w:rsidRPr="008C48F6">
        <w:rPr>
          <w:lang w:val="en-GB"/>
        </w:rPr>
        <w:t>Telephone:</w:t>
      </w:r>
      <w:r>
        <w:rPr>
          <w:lang w:val="en-GB"/>
        </w:rPr>
        <w:t xml:space="preserve">  </w:t>
      </w:r>
      <w:r w:rsidRPr="008C48F6">
        <w:rPr>
          <w:lang w:val="en-GB"/>
        </w:rPr>
        <w:t>04-</w:t>
      </w:r>
      <w:r>
        <w:rPr>
          <w:lang w:val="en-GB"/>
        </w:rPr>
        <w:t>463 7537</w:t>
      </w:r>
    </w:p>
    <w:p w:rsidR="00CB0813" w:rsidRPr="008C48F6" w:rsidRDefault="00CB0813" w:rsidP="00CB0813">
      <w:pPr>
        <w:pStyle w:val="Insidecover"/>
        <w:rPr>
          <w:lang w:val="en-GB"/>
        </w:rPr>
      </w:pPr>
      <w:r w:rsidRPr="008C48F6">
        <w:rPr>
          <w:lang w:val="en-GB"/>
        </w:rPr>
        <w:t>Fax:</w:t>
      </w:r>
      <w:r>
        <w:rPr>
          <w:lang w:val="en-GB"/>
        </w:rPr>
        <w:t xml:space="preserve">  </w:t>
      </w:r>
      <w:r w:rsidRPr="008C48F6">
        <w:rPr>
          <w:lang w:val="en-GB"/>
        </w:rPr>
        <w:t>04-</w:t>
      </w:r>
      <w:r>
        <w:rPr>
          <w:lang w:val="en-GB"/>
        </w:rPr>
        <w:t>463 8713</w:t>
      </w:r>
    </w:p>
    <w:p w:rsidR="00CB0813" w:rsidRDefault="00CB0813" w:rsidP="00CB0813">
      <w:pPr>
        <w:pStyle w:val="Insidecover"/>
        <w:spacing w:before="200"/>
      </w:pPr>
      <w:r w:rsidRPr="006511DE">
        <w:rPr>
          <w:b/>
        </w:rPr>
        <w:t>Published by</w:t>
      </w:r>
    </w:p>
    <w:p w:rsidR="00CB0813" w:rsidRDefault="00CB0813" w:rsidP="00CB0813">
      <w:pPr>
        <w:pStyle w:val="Insidecover"/>
      </w:pPr>
      <w:r w:rsidRPr="006511DE">
        <w:t>Tertiary Sector Pe</w:t>
      </w:r>
      <w:r>
        <w:t>rformance Analysis</w:t>
      </w:r>
    </w:p>
    <w:p w:rsidR="00CB0813" w:rsidRDefault="00CB0813" w:rsidP="00CB0813">
      <w:pPr>
        <w:pStyle w:val="Insidecover"/>
      </w:pPr>
      <w:r>
        <w:t xml:space="preserve">Tertiary, International and </w:t>
      </w:r>
      <w:r w:rsidRPr="006511DE">
        <w:t>System Performance</w:t>
      </w:r>
    </w:p>
    <w:p w:rsidR="00CB0813" w:rsidRPr="006511DE" w:rsidRDefault="00CB0813" w:rsidP="00CB0813">
      <w:pPr>
        <w:pStyle w:val="Insidecover"/>
      </w:pPr>
      <w:r w:rsidRPr="006511DE">
        <w:t>MINISTRY OF EDUCATION</w:t>
      </w:r>
    </w:p>
    <w:p w:rsidR="00CB0813" w:rsidRDefault="00CB0813" w:rsidP="00CB0813">
      <w:pPr>
        <w:pStyle w:val="Insidecover"/>
        <w:spacing w:before="200"/>
      </w:pPr>
      <w:r>
        <w:t>© Crown Copyright</w:t>
      </w:r>
    </w:p>
    <w:p w:rsidR="00CB0813" w:rsidRDefault="00CB0813" w:rsidP="00CB0813">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CB0813" w:rsidRPr="00683754" w:rsidRDefault="00CB0813" w:rsidP="00CB0813">
      <w:pPr>
        <w:autoSpaceDE w:val="0"/>
        <w:autoSpaceDN w:val="0"/>
        <w:adjustRightInd w:val="0"/>
        <w:ind w:left="-284"/>
        <w:rPr>
          <w:rFonts w:ascii="Arial" w:hAnsi="Arial"/>
          <w:sz w:val="18"/>
        </w:rPr>
      </w:pPr>
      <w:r>
        <w:rPr>
          <w:rFonts w:ascii="Arial" w:hAnsi="Arial" w:cs="Arial"/>
          <w:color w:val="000000"/>
          <w:sz w:val="18"/>
          <w:szCs w:val="18"/>
          <w:lang w:eastAsia="en-NZ"/>
        </w:rPr>
        <w:t xml:space="preserve">You are free to copy, distribute and adapt the work, as long as you attribute the work to the copyright holder and abide by the other licence terms. To view a copy of this licence, visit </w:t>
      </w:r>
      <w:r w:rsidRPr="00683754">
        <w:rPr>
          <w:rFonts w:ascii="Arial" w:hAnsi="Arial" w:cs="Arial"/>
          <w:sz w:val="18"/>
          <w:szCs w:val="18"/>
          <w:lang w:eastAsia="en-NZ"/>
        </w:rPr>
        <w:t>http://creativecommons.org/licenses/</w:t>
      </w:r>
      <w:r>
        <w:rPr>
          <w:rFonts w:ascii="Arial" w:hAnsi="Arial" w:cs="Arial"/>
          <w:sz w:val="18"/>
          <w:szCs w:val="18"/>
          <w:lang w:eastAsia="en-NZ"/>
        </w:rPr>
        <w:br/>
      </w:r>
      <w:r w:rsidRPr="00683754">
        <w:rPr>
          <w:rFonts w:ascii="Arial" w:hAnsi="Arial" w:cs="Arial"/>
          <w:sz w:val="18"/>
          <w:szCs w:val="18"/>
          <w:lang w:eastAsia="en-NZ"/>
        </w:rPr>
        <w:t>by/3.0/</w:t>
      </w:r>
      <w:proofErr w:type="spellStart"/>
      <w:r w:rsidRPr="00683754">
        <w:rPr>
          <w:rFonts w:ascii="Arial" w:hAnsi="Arial" w:cs="Arial"/>
          <w:sz w:val="18"/>
          <w:szCs w:val="18"/>
          <w:lang w:eastAsia="en-NZ"/>
        </w:rPr>
        <w:t>nz</w:t>
      </w:r>
      <w:proofErr w:type="spellEnd"/>
      <w:r w:rsidRPr="00683754">
        <w:rPr>
          <w:rFonts w:ascii="Arial" w:hAnsi="Arial" w:cs="Arial"/>
          <w:sz w:val="18"/>
          <w:szCs w:val="18"/>
          <w:lang w:eastAsia="en-NZ"/>
        </w:rPr>
        <w:t>/.</w:t>
      </w:r>
    </w:p>
    <w:p w:rsidR="00CB0813" w:rsidRDefault="00CB0813" w:rsidP="00CB0813">
      <w:pPr>
        <w:pStyle w:val="Insidecover"/>
        <w:spacing w:before="200"/>
      </w:pPr>
      <w:r w:rsidRPr="006511DE">
        <w:t>This report is available from the Ministry of Educa</w:t>
      </w:r>
      <w:r>
        <w:t xml:space="preserve">tion’s Education Counts website.  For the full set of enrolment statistics use the link:  </w:t>
      </w:r>
      <w:r w:rsidRPr="003B1D1F">
        <w:t>www.educationcounts.govt.nz/statistics/tertiary_education</w:t>
      </w:r>
    </w:p>
    <w:p w:rsidR="00CB0813" w:rsidRPr="006511DE" w:rsidRDefault="00202B68" w:rsidP="00CB0813">
      <w:pPr>
        <w:pStyle w:val="Insidecover"/>
        <w:spacing w:before="200" w:after="200"/>
      </w:pPr>
      <w:r>
        <w:t>April</w:t>
      </w:r>
      <w:r w:rsidR="00933737">
        <w:t xml:space="preserve"> 2014</w:t>
      </w:r>
    </w:p>
    <w:p w:rsidR="00CB0813" w:rsidRPr="007F4DB2" w:rsidRDefault="00CB0813" w:rsidP="00CB0813">
      <w:pPr>
        <w:pStyle w:val="Insidecover"/>
        <w:tabs>
          <w:tab w:val="left" w:pos="426"/>
        </w:tabs>
      </w:pPr>
      <w:r>
        <w:t>ISSN</w:t>
      </w:r>
      <w:r>
        <w:tab/>
      </w:r>
      <w:r w:rsidRPr="007F4DB2">
        <w:t>1178-7511</w:t>
      </w:r>
    </w:p>
    <w:p w:rsidR="00AF0321" w:rsidRDefault="00AF0321" w:rsidP="00B675AF">
      <w:pPr>
        <w:pStyle w:val="Insidecover"/>
        <w:sectPr w:rsidR="00AF0321" w:rsidSect="00D718E4">
          <w:headerReference w:type="default" r:id="rId10"/>
          <w:type w:val="evenPage"/>
          <w:pgSz w:w="11906" w:h="16838" w:code="9"/>
          <w:pgMar w:top="1418" w:right="1701" w:bottom="1418" w:left="1701" w:header="709" w:footer="709" w:gutter="0"/>
          <w:pgNumType w:start="1"/>
          <w:cols w:space="708"/>
          <w:vAlign w:val="bottom"/>
          <w:docGrid w:linePitch="360"/>
        </w:sectPr>
      </w:pPr>
    </w:p>
    <w:p w:rsidR="00177D52" w:rsidRDefault="005B67D2" w:rsidP="00544EBD">
      <w:pPr>
        <w:pStyle w:val="Headingspaceafter"/>
        <w:spacing w:after="800"/>
        <w:rPr>
          <w:noProof/>
        </w:rPr>
      </w:pPr>
      <w:fldSimple w:instr=" REF ReportTitle  \* MERGEFORMAT ">
        <w:r w:rsidR="00375A85">
          <w:t>Tertiary education enrolments 2013</w:t>
        </w:r>
      </w:fldSimple>
    </w:p>
    <w:p w:rsidR="00CD56FF" w:rsidRDefault="005B67D2" w:rsidP="007E0F47">
      <w:pPr>
        <w:pStyle w:val="TOC1"/>
        <w:spacing w:after="360"/>
        <w:rPr>
          <w:rFonts w:asciiTheme="minorHAnsi" w:eastAsiaTheme="minorEastAsia" w:hAnsiTheme="minorHAnsi" w:cstheme="minorBidi"/>
          <w:sz w:val="22"/>
          <w:szCs w:val="22"/>
          <w:lang w:eastAsia="en-NZ"/>
        </w:rPr>
      </w:pPr>
      <w:r w:rsidRPr="005B67D2">
        <w:fldChar w:fldCharType="begin"/>
      </w:r>
      <w:r w:rsidR="00400AC4">
        <w:instrText xml:space="preserve"> TOC \h \z \t "Heading 1,1,Heading 2,2,Appendix,1,Heading 1A,2,Appendix Sub,2,Heading 2a,2" </w:instrText>
      </w:r>
      <w:r w:rsidRPr="005B67D2">
        <w:fldChar w:fldCharType="separate"/>
      </w:r>
      <w:hyperlink w:anchor="_Toc383697355" w:history="1">
        <w:r w:rsidR="00CD56FF" w:rsidRPr="00CB676D">
          <w:rPr>
            <w:rStyle w:val="Hyperlink"/>
          </w:rPr>
          <w:t>1</w:t>
        </w:r>
        <w:r w:rsidR="00CD56FF">
          <w:rPr>
            <w:rFonts w:asciiTheme="minorHAnsi" w:eastAsiaTheme="minorEastAsia" w:hAnsiTheme="minorHAnsi" w:cstheme="minorBidi"/>
            <w:sz w:val="22"/>
            <w:szCs w:val="22"/>
            <w:lang w:eastAsia="en-NZ"/>
          </w:rPr>
          <w:tab/>
        </w:r>
        <w:r w:rsidR="00CD56FF" w:rsidRPr="00CB676D">
          <w:rPr>
            <w:rStyle w:val="Hyperlink"/>
          </w:rPr>
          <w:t>Summary</w:t>
        </w:r>
        <w:r w:rsidR="00CD56FF">
          <w:rPr>
            <w:webHidden/>
          </w:rPr>
          <w:tab/>
        </w:r>
        <w:r>
          <w:rPr>
            <w:webHidden/>
          </w:rPr>
          <w:fldChar w:fldCharType="begin"/>
        </w:r>
        <w:r w:rsidR="00CD56FF">
          <w:rPr>
            <w:webHidden/>
          </w:rPr>
          <w:instrText xml:space="preserve"> PAGEREF _Toc383697355 \h </w:instrText>
        </w:r>
        <w:r>
          <w:rPr>
            <w:webHidden/>
          </w:rPr>
        </w:r>
        <w:r>
          <w:rPr>
            <w:webHidden/>
          </w:rPr>
          <w:fldChar w:fldCharType="separate"/>
        </w:r>
        <w:r w:rsidR="00375A85">
          <w:rPr>
            <w:webHidden/>
          </w:rPr>
          <w:t>1</w:t>
        </w:r>
        <w:r>
          <w:rPr>
            <w:webHidden/>
          </w:rPr>
          <w:fldChar w:fldCharType="end"/>
        </w:r>
      </w:hyperlink>
    </w:p>
    <w:p w:rsidR="00CD56FF" w:rsidRDefault="005B67D2" w:rsidP="007E0F47">
      <w:pPr>
        <w:pStyle w:val="TOC1"/>
        <w:spacing w:after="360"/>
        <w:rPr>
          <w:rFonts w:asciiTheme="minorHAnsi" w:eastAsiaTheme="minorEastAsia" w:hAnsiTheme="minorHAnsi" w:cstheme="minorBidi"/>
          <w:sz w:val="22"/>
          <w:szCs w:val="22"/>
          <w:lang w:eastAsia="en-NZ"/>
        </w:rPr>
      </w:pPr>
      <w:hyperlink w:anchor="_Toc383697356" w:history="1">
        <w:r w:rsidR="00CD56FF" w:rsidRPr="00CB676D">
          <w:rPr>
            <w:rStyle w:val="Hyperlink"/>
          </w:rPr>
          <w:t>2</w:t>
        </w:r>
        <w:r w:rsidR="00CD56FF">
          <w:rPr>
            <w:rFonts w:asciiTheme="minorHAnsi" w:eastAsiaTheme="minorEastAsia" w:hAnsiTheme="minorHAnsi" w:cstheme="minorBidi"/>
            <w:sz w:val="22"/>
            <w:szCs w:val="22"/>
            <w:lang w:eastAsia="en-NZ"/>
          </w:rPr>
          <w:tab/>
        </w:r>
        <w:r w:rsidR="00CD56FF" w:rsidRPr="00CB676D">
          <w:rPr>
            <w:rStyle w:val="Hyperlink"/>
          </w:rPr>
          <w:t>Enrolments trend</w:t>
        </w:r>
        <w:r w:rsidR="00CD56FF">
          <w:rPr>
            <w:webHidden/>
          </w:rPr>
          <w:tab/>
        </w:r>
        <w:r>
          <w:rPr>
            <w:webHidden/>
          </w:rPr>
          <w:fldChar w:fldCharType="begin"/>
        </w:r>
        <w:r w:rsidR="00CD56FF">
          <w:rPr>
            <w:webHidden/>
          </w:rPr>
          <w:instrText xml:space="preserve"> PAGEREF _Toc383697356 \h </w:instrText>
        </w:r>
        <w:r>
          <w:rPr>
            <w:webHidden/>
          </w:rPr>
        </w:r>
        <w:r>
          <w:rPr>
            <w:webHidden/>
          </w:rPr>
          <w:fldChar w:fldCharType="separate"/>
        </w:r>
        <w:r w:rsidR="00375A85">
          <w:rPr>
            <w:webHidden/>
          </w:rPr>
          <w:t>4</w:t>
        </w:r>
        <w:r>
          <w:rPr>
            <w:webHidden/>
          </w:rPr>
          <w:fldChar w:fldCharType="end"/>
        </w:r>
      </w:hyperlink>
    </w:p>
    <w:p w:rsidR="00CD56FF" w:rsidRDefault="005B67D2" w:rsidP="007E0F47">
      <w:pPr>
        <w:pStyle w:val="TOC1"/>
        <w:spacing w:after="360"/>
        <w:rPr>
          <w:rFonts w:asciiTheme="minorHAnsi" w:eastAsiaTheme="minorEastAsia" w:hAnsiTheme="minorHAnsi" w:cstheme="minorBidi"/>
          <w:sz w:val="22"/>
          <w:szCs w:val="22"/>
          <w:lang w:eastAsia="en-NZ"/>
        </w:rPr>
      </w:pPr>
      <w:hyperlink w:anchor="_Toc383697357" w:history="1">
        <w:r w:rsidR="00CD56FF" w:rsidRPr="00CB676D">
          <w:rPr>
            <w:rStyle w:val="Hyperlink"/>
          </w:rPr>
          <w:t>3</w:t>
        </w:r>
        <w:r w:rsidR="00CD56FF">
          <w:rPr>
            <w:rFonts w:asciiTheme="minorHAnsi" w:eastAsiaTheme="minorEastAsia" w:hAnsiTheme="minorHAnsi" w:cstheme="minorBidi"/>
            <w:sz w:val="22"/>
            <w:szCs w:val="22"/>
            <w:lang w:eastAsia="en-NZ"/>
          </w:rPr>
          <w:tab/>
        </w:r>
        <w:r w:rsidR="00CD56FF" w:rsidRPr="00CB676D">
          <w:rPr>
            <w:rStyle w:val="Hyperlink"/>
          </w:rPr>
          <w:t>Participation rate in tertiary education</w:t>
        </w:r>
        <w:r w:rsidR="00CD56FF">
          <w:rPr>
            <w:webHidden/>
          </w:rPr>
          <w:tab/>
        </w:r>
        <w:r>
          <w:rPr>
            <w:webHidden/>
          </w:rPr>
          <w:fldChar w:fldCharType="begin"/>
        </w:r>
        <w:r w:rsidR="00CD56FF">
          <w:rPr>
            <w:webHidden/>
          </w:rPr>
          <w:instrText xml:space="preserve"> PAGEREF _Toc383697357 \h </w:instrText>
        </w:r>
        <w:r>
          <w:rPr>
            <w:webHidden/>
          </w:rPr>
        </w:r>
        <w:r>
          <w:rPr>
            <w:webHidden/>
          </w:rPr>
          <w:fldChar w:fldCharType="separate"/>
        </w:r>
        <w:r w:rsidR="00375A85">
          <w:rPr>
            <w:webHidden/>
          </w:rPr>
          <w:t>2</w:t>
        </w:r>
        <w:r>
          <w:rPr>
            <w:webHidden/>
          </w:rPr>
          <w:fldChar w:fldCharType="end"/>
        </w:r>
      </w:hyperlink>
    </w:p>
    <w:p w:rsidR="00CD56FF" w:rsidRDefault="005B67D2" w:rsidP="007E0F47">
      <w:pPr>
        <w:pStyle w:val="TOC1"/>
        <w:spacing w:after="360"/>
        <w:rPr>
          <w:rFonts w:asciiTheme="minorHAnsi" w:eastAsiaTheme="minorEastAsia" w:hAnsiTheme="minorHAnsi" w:cstheme="minorBidi"/>
          <w:sz w:val="22"/>
          <w:szCs w:val="22"/>
          <w:lang w:eastAsia="en-NZ"/>
        </w:rPr>
      </w:pPr>
      <w:hyperlink w:anchor="_Toc383697358" w:history="1">
        <w:r w:rsidR="00CD56FF" w:rsidRPr="00CB676D">
          <w:rPr>
            <w:rStyle w:val="Hyperlink"/>
          </w:rPr>
          <w:t>4</w:t>
        </w:r>
        <w:r w:rsidR="00CD56FF">
          <w:rPr>
            <w:rFonts w:asciiTheme="minorHAnsi" w:eastAsiaTheme="minorEastAsia" w:hAnsiTheme="minorHAnsi" w:cstheme="minorBidi"/>
            <w:sz w:val="22"/>
            <w:szCs w:val="22"/>
            <w:lang w:eastAsia="en-NZ"/>
          </w:rPr>
          <w:tab/>
        </w:r>
        <w:r w:rsidR="00CD56FF" w:rsidRPr="00CB676D">
          <w:rPr>
            <w:rStyle w:val="Hyperlink"/>
          </w:rPr>
          <w:t>Enrolments by qualification level</w:t>
        </w:r>
        <w:r w:rsidR="00CD56FF">
          <w:rPr>
            <w:webHidden/>
          </w:rPr>
          <w:tab/>
        </w:r>
        <w:r>
          <w:rPr>
            <w:webHidden/>
          </w:rPr>
          <w:fldChar w:fldCharType="begin"/>
        </w:r>
        <w:r w:rsidR="00CD56FF">
          <w:rPr>
            <w:webHidden/>
          </w:rPr>
          <w:instrText xml:space="preserve"> PAGEREF _Toc383697358 \h </w:instrText>
        </w:r>
        <w:r>
          <w:rPr>
            <w:webHidden/>
          </w:rPr>
        </w:r>
        <w:r>
          <w:rPr>
            <w:webHidden/>
          </w:rPr>
          <w:fldChar w:fldCharType="separate"/>
        </w:r>
        <w:r w:rsidR="00375A85">
          <w:rPr>
            <w:webHidden/>
          </w:rPr>
          <w:t>5</w:t>
        </w:r>
        <w:r>
          <w:rPr>
            <w:webHidden/>
          </w:rPr>
          <w:fldChar w:fldCharType="end"/>
        </w:r>
      </w:hyperlink>
    </w:p>
    <w:p w:rsidR="00CD56FF" w:rsidRDefault="005B67D2" w:rsidP="007E0F47">
      <w:pPr>
        <w:pStyle w:val="TOC1"/>
        <w:spacing w:after="360"/>
        <w:rPr>
          <w:rFonts w:asciiTheme="minorHAnsi" w:eastAsiaTheme="minorEastAsia" w:hAnsiTheme="minorHAnsi" w:cstheme="minorBidi"/>
          <w:sz w:val="22"/>
          <w:szCs w:val="22"/>
          <w:lang w:eastAsia="en-NZ"/>
        </w:rPr>
      </w:pPr>
      <w:hyperlink w:anchor="_Toc383697359" w:history="1">
        <w:r w:rsidR="00CD56FF" w:rsidRPr="00CB676D">
          <w:rPr>
            <w:rStyle w:val="Hyperlink"/>
          </w:rPr>
          <w:t>5</w:t>
        </w:r>
        <w:r w:rsidR="00CD56FF">
          <w:rPr>
            <w:rFonts w:asciiTheme="minorHAnsi" w:eastAsiaTheme="minorEastAsia" w:hAnsiTheme="minorHAnsi" w:cstheme="minorBidi"/>
            <w:sz w:val="22"/>
            <w:szCs w:val="22"/>
            <w:lang w:eastAsia="en-NZ"/>
          </w:rPr>
          <w:tab/>
        </w:r>
        <w:r w:rsidR="00CD56FF" w:rsidRPr="00CB676D">
          <w:rPr>
            <w:rStyle w:val="Hyperlink"/>
          </w:rPr>
          <w:t>Equivalent full-time student units</w:t>
        </w:r>
        <w:r w:rsidR="00CD56FF">
          <w:rPr>
            <w:webHidden/>
          </w:rPr>
          <w:tab/>
        </w:r>
        <w:r>
          <w:rPr>
            <w:webHidden/>
          </w:rPr>
          <w:fldChar w:fldCharType="begin"/>
        </w:r>
        <w:r w:rsidR="00CD56FF">
          <w:rPr>
            <w:webHidden/>
          </w:rPr>
          <w:instrText xml:space="preserve"> PAGEREF _Toc383697359 \h </w:instrText>
        </w:r>
        <w:r>
          <w:rPr>
            <w:webHidden/>
          </w:rPr>
        </w:r>
        <w:r>
          <w:rPr>
            <w:webHidden/>
          </w:rPr>
          <w:fldChar w:fldCharType="separate"/>
        </w:r>
        <w:r w:rsidR="00375A85">
          <w:rPr>
            <w:webHidden/>
          </w:rPr>
          <w:t>9</w:t>
        </w:r>
        <w:r>
          <w:rPr>
            <w:webHidden/>
          </w:rPr>
          <w:fldChar w:fldCharType="end"/>
        </w:r>
      </w:hyperlink>
    </w:p>
    <w:p w:rsidR="00CD56FF" w:rsidRDefault="005B67D2" w:rsidP="007E0F47">
      <w:pPr>
        <w:pStyle w:val="TOC1"/>
        <w:spacing w:after="360"/>
        <w:rPr>
          <w:rFonts w:asciiTheme="minorHAnsi" w:eastAsiaTheme="minorEastAsia" w:hAnsiTheme="minorHAnsi" w:cstheme="minorBidi"/>
          <w:sz w:val="22"/>
          <w:szCs w:val="22"/>
          <w:lang w:eastAsia="en-NZ"/>
        </w:rPr>
      </w:pPr>
      <w:hyperlink w:anchor="_Toc383697360" w:history="1">
        <w:r w:rsidR="00CD56FF" w:rsidRPr="00CB676D">
          <w:rPr>
            <w:rStyle w:val="Hyperlink"/>
          </w:rPr>
          <w:t>6</w:t>
        </w:r>
        <w:r w:rsidR="00CD56FF">
          <w:rPr>
            <w:rFonts w:asciiTheme="minorHAnsi" w:eastAsiaTheme="minorEastAsia" w:hAnsiTheme="minorHAnsi" w:cstheme="minorBidi"/>
            <w:sz w:val="22"/>
            <w:szCs w:val="22"/>
            <w:lang w:eastAsia="en-NZ"/>
          </w:rPr>
          <w:tab/>
        </w:r>
        <w:r w:rsidR="00CD56FF" w:rsidRPr="00CB676D">
          <w:rPr>
            <w:rStyle w:val="Hyperlink"/>
          </w:rPr>
          <w:t>Enrolments by provider type</w:t>
        </w:r>
        <w:r w:rsidR="00CD56FF">
          <w:rPr>
            <w:webHidden/>
          </w:rPr>
          <w:tab/>
        </w:r>
        <w:r>
          <w:rPr>
            <w:webHidden/>
          </w:rPr>
          <w:fldChar w:fldCharType="begin"/>
        </w:r>
        <w:r w:rsidR="00CD56FF">
          <w:rPr>
            <w:webHidden/>
          </w:rPr>
          <w:instrText xml:space="preserve"> PAGEREF _Toc383697360 \h </w:instrText>
        </w:r>
        <w:r>
          <w:rPr>
            <w:webHidden/>
          </w:rPr>
        </w:r>
        <w:r>
          <w:rPr>
            <w:webHidden/>
          </w:rPr>
          <w:fldChar w:fldCharType="separate"/>
        </w:r>
        <w:r w:rsidR="00375A85">
          <w:rPr>
            <w:webHidden/>
          </w:rPr>
          <w:t>10</w:t>
        </w:r>
        <w:r>
          <w:rPr>
            <w:webHidden/>
          </w:rPr>
          <w:fldChar w:fldCharType="end"/>
        </w:r>
      </w:hyperlink>
    </w:p>
    <w:p w:rsidR="00CD56FF" w:rsidRDefault="005B67D2" w:rsidP="007E0F47">
      <w:pPr>
        <w:pStyle w:val="TOC1"/>
        <w:spacing w:after="360"/>
        <w:rPr>
          <w:rFonts w:asciiTheme="minorHAnsi" w:eastAsiaTheme="minorEastAsia" w:hAnsiTheme="minorHAnsi" w:cstheme="minorBidi"/>
          <w:sz w:val="22"/>
          <w:szCs w:val="22"/>
          <w:lang w:eastAsia="en-NZ"/>
        </w:rPr>
      </w:pPr>
      <w:hyperlink w:anchor="_Toc383697361" w:history="1">
        <w:r w:rsidR="00CD56FF" w:rsidRPr="00CB676D">
          <w:rPr>
            <w:rStyle w:val="Hyperlink"/>
          </w:rPr>
          <w:t>7</w:t>
        </w:r>
        <w:r w:rsidR="00CD56FF">
          <w:rPr>
            <w:rFonts w:asciiTheme="minorHAnsi" w:eastAsiaTheme="minorEastAsia" w:hAnsiTheme="minorHAnsi" w:cstheme="minorBidi"/>
            <w:sz w:val="22"/>
            <w:szCs w:val="22"/>
            <w:lang w:eastAsia="en-NZ"/>
          </w:rPr>
          <w:tab/>
        </w:r>
        <w:r w:rsidR="00CD56FF" w:rsidRPr="00CB676D">
          <w:rPr>
            <w:rStyle w:val="Hyperlink"/>
          </w:rPr>
          <w:t>Enrolments by gender</w:t>
        </w:r>
        <w:r w:rsidR="00CD56FF">
          <w:rPr>
            <w:webHidden/>
          </w:rPr>
          <w:tab/>
        </w:r>
        <w:r>
          <w:rPr>
            <w:webHidden/>
          </w:rPr>
          <w:fldChar w:fldCharType="begin"/>
        </w:r>
        <w:r w:rsidR="00CD56FF">
          <w:rPr>
            <w:webHidden/>
          </w:rPr>
          <w:instrText xml:space="preserve"> PAGEREF _Toc383697361 \h </w:instrText>
        </w:r>
        <w:r>
          <w:rPr>
            <w:webHidden/>
          </w:rPr>
        </w:r>
        <w:r>
          <w:rPr>
            <w:webHidden/>
          </w:rPr>
          <w:fldChar w:fldCharType="separate"/>
        </w:r>
        <w:r w:rsidR="00375A85">
          <w:rPr>
            <w:webHidden/>
          </w:rPr>
          <w:t>12</w:t>
        </w:r>
        <w:r>
          <w:rPr>
            <w:webHidden/>
          </w:rPr>
          <w:fldChar w:fldCharType="end"/>
        </w:r>
      </w:hyperlink>
    </w:p>
    <w:p w:rsidR="00CD56FF" w:rsidRDefault="005B67D2" w:rsidP="007E0F47">
      <w:pPr>
        <w:pStyle w:val="TOC1"/>
        <w:spacing w:after="360"/>
        <w:rPr>
          <w:rFonts w:asciiTheme="minorHAnsi" w:eastAsiaTheme="minorEastAsia" w:hAnsiTheme="minorHAnsi" w:cstheme="minorBidi"/>
          <w:sz w:val="22"/>
          <w:szCs w:val="22"/>
          <w:lang w:eastAsia="en-NZ"/>
        </w:rPr>
      </w:pPr>
      <w:hyperlink w:anchor="_Toc383697362" w:history="1">
        <w:r w:rsidR="00CD56FF" w:rsidRPr="00CB676D">
          <w:rPr>
            <w:rStyle w:val="Hyperlink"/>
          </w:rPr>
          <w:t>8</w:t>
        </w:r>
        <w:r w:rsidR="00CD56FF">
          <w:rPr>
            <w:rFonts w:asciiTheme="minorHAnsi" w:eastAsiaTheme="minorEastAsia" w:hAnsiTheme="minorHAnsi" w:cstheme="minorBidi"/>
            <w:sz w:val="22"/>
            <w:szCs w:val="22"/>
            <w:lang w:eastAsia="en-NZ"/>
          </w:rPr>
          <w:tab/>
        </w:r>
        <w:r w:rsidR="00CD56FF" w:rsidRPr="00CB676D">
          <w:rPr>
            <w:rStyle w:val="Hyperlink"/>
          </w:rPr>
          <w:t>Ethnic groups</w:t>
        </w:r>
        <w:r w:rsidR="00CD56FF">
          <w:rPr>
            <w:webHidden/>
          </w:rPr>
          <w:tab/>
        </w:r>
        <w:r>
          <w:rPr>
            <w:webHidden/>
          </w:rPr>
          <w:fldChar w:fldCharType="begin"/>
        </w:r>
        <w:r w:rsidR="00CD56FF">
          <w:rPr>
            <w:webHidden/>
          </w:rPr>
          <w:instrText xml:space="preserve"> PAGEREF _Toc383697362 \h </w:instrText>
        </w:r>
        <w:r>
          <w:rPr>
            <w:webHidden/>
          </w:rPr>
        </w:r>
        <w:r>
          <w:rPr>
            <w:webHidden/>
          </w:rPr>
          <w:fldChar w:fldCharType="separate"/>
        </w:r>
        <w:r w:rsidR="00375A85">
          <w:rPr>
            <w:webHidden/>
          </w:rPr>
          <w:t>14</w:t>
        </w:r>
        <w:r>
          <w:rPr>
            <w:webHidden/>
          </w:rPr>
          <w:fldChar w:fldCharType="end"/>
        </w:r>
      </w:hyperlink>
    </w:p>
    <w:p w:rsidR="00CD56FF" w:rsidRDefault="005B67D2" w:rsidP="007E0F47">
      <w:pPr>
        <w:pStyle w:val="TOC2"/>
        <w:tabs>
          <w:tab w:val="left" w:pos="1134"/>
        </w:tabs>
        <w:spacing w:after="360"/>
        <w:rPr>
          <w:rFonts w:asciiTheme="minorHAnsi" w:eastAsiaTheme="minorEastAsia" w:hAnsiTheme="minorHAnsi" w:cstheme="minorBidi"/>
          <w:sz w:val="22"/>
          <w:szCs w:val="22"/>
          <w:lang w:eastAsia="en-NZ"/>
        </w:rPr>
      </w:pPr>
      <w:hyperlink w:anchor="_Toc383697363" w:history="1">
        <w:r w:rsidR="00CD56FF" w:rsidRPr="00CB676D">
          <w:rPr>
            <w:rStyle w:val="Hyperlink"/>
            <w:lang w:val="en-US"/>
          </w:rPr>
          <w:t>8.1</w:t>
        </w:r>
        <w:r w:rsidR="00CD56FF">
          <w:rPr>
            <w:rFonts w:asciiTheme="minorHAnsi" w:eastAsiaTheme="minorEastAsia" w:hAnsiTheme="minorHAnsi" w:cstheme="minorBidi"/>
            <w:sz w:val="22"/>
            <w:szCs w:val="22"/>
            <w:lang w:eastAsia="en-NZ"/>
          </w:rPr>
          <w:tab/>
        </w:r>
        <w:r w:rsidR="00CD56FF" w:rsidRPr="00CB676D">
          <w:rPr>
            <w:rStyle w:val="Hyperlink"/>
            <w:lang w:val="en-US"/>
          </w:rPr>
          <w:t>Tertiary education participation rates by ethnic group</w:t>
        </w:r>
        <w:r w:rsidR="00CD56FF">
          <w:rPr>
            <w:webHidden/>
          </w:rPr>
          <w:tab/>
        </w:r>
        <w:r>
          <w:rPr>
            <w:webHidden/>
          </w:rPr>
          <w:fldChar w:fldCharType="begin"/>
        </w:r>
        <w:r w:rsidR="00CD56FF">
          <w:rPr>
            <w:webHidden/>
          </w:rPr>
          <w:instrText xml:space="preserve"> PAGEREF _Toc383697363 \h </w:instrText>
        </w:r>
        <w:r>
          <w:rPr>
            <w:webHidden/>
          </w:rPr>
        </w:r>
        <w:r>
          <w:rPr>
            <w:webHidden/>
          </w:rPr>
          <w:fldChar w:fldCharType="separate"/>
        </w:r>
        <w:r w:rsidR="00375A85">
          <w:rPr>
            <w:webHidden/>
          </w:rPr>
          <w:t>14</w:t>
        </w:r>
        <w:r>
          <w:rPr>
            <w:webHidden/>
          </w:rPr>
          <w:fldChar w:fldCharType="end"/>
        </w:r>
      </w:hyperlink>
    </w:p>
    <w:p w:rsidR="00CD56FF" w:rsidRDefault="005B67D2" w:rsidP="007E0F47">
      <w:pPr>
        <w:pStyle w:val="TOC2"/>
        <w:tabs>
          <w:tab w:val="left" w:pos="1134"/>
        </w:tabs>
        <w:spacing w:after="360"/>
        <w:rPr>
          <w:rFonts w:asciiTheme="minorHAnsi" w:eastAsiaTheme="minorEastAsia" w:hAnsiTheme="minorHAnsi" w:cstheme="minorBidi"/>
          <w:sz w:val="22"/>
          <w:szCs w:val="22"/>
          <w:lang w:eastAsia="en-NZ"/>
        </w:rPr>
      </w:pPr>
      <w:hyperlink w:anchor="_Toc383697364" w:history="1">
        <w:r w:rsidR="00CD56FF" w:rsidRPr="00CB676D">
          <w:rPr>
            <w:rStyle w:val="Hyperlink"/>
          </w:rPr>
          <w:t>8.2</w:t>
        </w:r>
        <w:r w:rsidR="00CD56FF">
          <w:rPr>
            <w:rFonts w:asciiTheme="minorHAnsi" w:eastAsiaTheme="minorEastAsia" w:hAnsiTheme="minorHAnsi" w:cstheme="minorBidi"/>
            <w:sz w:val="22"/>
            <w:szCs w:val="22"/>
            <w:lang w:eastAsia="en-NZ"/>
          </w:rPr>
          <w:tab/>
        </w:r>
        <w:r w:rsidR="00CD56FF" w:rsidRPr="00CB676D">
          <w:rPr>
            <w:rStyle w:val="Hyperlink"/>
          </w:rPr>
          <w:t>Tertiary education participation rate of people aged 15 to 24 years by ethnic group</w:t>
        </w:r>
        <w:r w:rsidR="00CD56FF">
          <w:rPr>
            <w:webHidden/>
          </w:rPr>
          <w:tab/>
        </w:r>
        <w:r>
          <w:rPr>
            <w:webHidden/>
          </w:rPr>
          <w:fldChar w:fldCharType="begin"/>
        </w:r>
        <w:r w:rsidR="00CD56FF">
          <w:rPr>
            <w:webHidden/>
          </w:rPr>
          <w:instrText xml:space="preserve"> PAGEREF _Toc383697364 \h </w:instrText>
        </w:r>
        <w:r>
          <w:rPr>
            <w:webHidden/>
          </w:rPr>
        </w:r>
        <w:r>
          <w:rPr>
            <w:webHidden/>
          </w:rPr>
          <w:fldChar w:fldCharType="separate"/>
        </w:r>
        <w:r w:rsidR="00375A85">
          <w:rPr>
            <w:webHidden/>
          </w:rPr>
          <w:t>15</w:t>
        </w:r>
        <w:r>
          <w:rPr>
            <w:webHidden/>
          </w:rPr>
          <w:fldChar w:fldCharType="end"/>
        </w:r>
      </w:hyperlink>
    </w:p>
    <w:p w:rsidR="00795385" w:rsidRDefault="005B67D2" w:rsidP="007E0F47">
      <w:pPr>
        <w:pStyle w:val="TOC2"/>
        <w:tabs>
          <w:tab w:val="left" w:pos="1134"/>
        </w:tabs>
        <w:spacing w:after="360"/>
      </w:pPr>
      <w:hyperlink w:anchor="_Toc383697365" w:history="1">
        <w:r w:rsidR="00CD56FF" w:rsidRPr="00CB676D">
          <w:rPr>
            <w:rStyle w:val="Hyperlink"/>
          </w:rPr>
          <w:t>8.3</w:t>
        </w:r>
        <w:r w:rsidR="00CD56FF">
          <w:rPr>
            <w:rFonts w:asciiTheme="minorHAnsi" w:eastAsiaTheme="minorEastAsia" w:hAnsiTheme="minorHAnsi" w:cstheme="minorBidi"/>
            <w:sz w:val="22"/>
            <w:szCs w:val="22"/>
            <w:lang w:eastAsia="en-NZ"/>
          </w:rPr>
          <w:tab/>
        </w:r>
        <w:r w:rsidR="00CD56FF" w:rsidRPr="00CB676D">
          <w:rPr>
            <w:rStyle w:val="Hyperlink"/>
          </w:rPr>
          <w:t>Tertiary education participation rate of people aged 25 years and over by ethnic group</w:t>
        </w:r>
        <w:r w:rsidR="00CD56FF">
          <w:rPr>
            <w:webHidden/>
          </w:rPr>
          <w:tab/>
        </w:r>
        <w:r>
          <w:rPr>
            <w:webHidden/>
          </w:rPr>
          <w:fldChar w:fldCharType="begin"/>
        </w:r>
        <w:r w:rsidR="00CD56FF">
          <w:rPr>
            <w:webHidden/>
          </w:rPr>
          <w:instrText xml:space="preserve"> PAGEREF _Toc383697365 \h </w:instrText>
        </w:r>
        <w:r>
          <w:rPr>
            <w:webHidden/>
          </w:rPr>
        </w:r>
        <w:r>
          <w:rPr>
            <w:webHidden/>
          </w:rPr>
          <w:fldChar w:fldCharType="separate"/>
        </w:r>
        <w:r w:rsidR="00375A85">
          <w:rPr>
            <w:webHidden/>
          </w:rPr>
          <w:t>16</w:t>
        </w:r>
        <w:r>
          <w:rPr>
            <w:webHidden/>
          </w:rPr>
          <w:fldChar w:fldCharType="end"/>
        </w:r>
      </w:hyperlink>
      <w:r>
        <w:fldChar w:fldCharType="end"/>
      </w:r>
    </w:p>
    <w:p w:rsidR="00795385" w:rsidRPr="0073013D" w:rsidRDefault="00795385" w:rsidP="003141C2">
      <w:pPr>
        <w:pStyle w:val="BodyText"/>
        <w:spacing w:before="480" w:after="180"/>
        <w:rPr>
          <w:rFonts w:ascii="Arial" w:hAnsi="Arial" w:cs="Arial"/>
          <w:b/>
          <w:bCs/>
          <w:noProof/>
          <w:sz w:val="18"/>
          <w:szCs w:val="18"/>
        </w:rPr>
      </w:pPr>
      <w:r w:rsidRPr="0073013D">
        <w:rPr>
          <w:rFonts w:ascii="Arial" w:hAnsi="Arial" w:cs="Arial"/>
          <w:b/>
          <w:noProof/>
          <w:sz w:val="18"/>
          <w:szCs w:val="18"/>
        </w:rPr>
        <w:t>Statistics used in this report</w:t>
      </w:r>
    </w:p>
    <w:p w:rsidR="00F84053" w:rsidRDefault="003141C2" w:rsidP="008D29E7">
      <w:pPr>
        <w:pStyle w:val="BodyText"/>
        <w:spacing w:after="120"/>
        <w:rPr>
          <w:rFonts w:ascii="Arial" w:hAnsi="Arial" w:cs="Arial"/>
          <w:sz w:val="20"/>
        </w:rPr>
      </w:pPr>
      <w:bookmarkStart w:id="1" w:name="_Toc292203328"/>
      <w:bookmarkStart w:id="2" w:name="_Toc292203333"/>
      <w:bookmarkStart w:id="3" w:name="_Toc292203831"/>
      <w:r>
        <w:rPr>
          <w:rFonts w:ascii="Arial" w:hAnsi="Arial" w:cs="Arial"/>
          <w:noProof/>
          <w:sz w:val="16"/>
          <w:szCs w:val="16"/>
        </w:rPr>
        <w:t xml:space="preserve">This report describes </w:t>
      </w:r>
      <w:r w:rsidR="00B96A5E">
        <w:rPr>
          <w:rFonts w:ascii="Arial" w:hAnsi="Arial" w:cs="Arial"/>
          <w:noProof/>
          <w:sz w:val="16"/>
          <w:szCs w:val="16"/>
        </w:rPr>
        <w:t>students enrolled at any time of the year with a tertiary education provider in formal study</w:t>
      </w:r>
      <w:r>
        <w:rPr>
          <w:rFonts w:ascii="Arial" w:hAnsi="Arial" w:cs="Arial"/>
          <w:noProof/>
          <w:sz w:val="16"/>
          <w:szCs w:val="16"/>
        </w:rPr>
        <w:t xml:space="preserve"> </w:t>
      </w:r>
      <w:r w:rsidR="00594F60">
        <w:rPr>
          <w:rFonts w:ascii="Arial" w:hAnsi="Arial" w:cs="Arial"/>
          <w:noProof/>
          <w:sz w:val="16"/>
          <w:szCs w:val="16"/>
        </w:rPr>
        <w:t>(that is,</w:t>
      </w:r>
      <w:r w:rsidR="00B96A5E" w:rsidRPr="003141C2">
        <w:rPr>
          <w:rFonts w:ascii="Arial" w:hAnsi="Arial" w:cs="Arial"/>
          <w:noProof/>
          <w:sz w:val="16"/>
          <w:szCs w:val="16"/>
        </w:rPr>
        <w:t xml:space="preserve"> contributing towards a recognised qualification)</w:t>
      </w:r>
      <w:r w:rsidR="00B96A5E">
        <w:rPr>
          <w:rFonts w:ascii="Arial" w:hAnsi="Arial" w:cs="Arial"/>
          <w:noProof/>
          <w:sz w:val="16"/>
          <w:szCs w:val="16"/>
        </w:rPr>
        <w:t xml:space="preserve"> </w:t>
      </w:r>
      <w:r w:rsidRPr="003141C2">
        <w:rPr>
          <w:rFonts w:ascii="Arial" w:hAnsi="Arial" w:cs="Arial"/>
          <w:noProof/>
          <w:sz w:val="16"/>
          <w:szCs w:val="16"/>
        </w:rPr>
        <w:t>of more than one week’s duration.</w:t>
      </w:r>
      <w:r>
        <w:rPr>
          <w:rFonts w:ascii="Arial" w:hAnsi="Arial" w:cs="Arial"/>
          <w:noProof/>
          <w:sz w:val="16"/>
          <w:szCs w:val="16"/>
        </w:rPr>
        <w:t xml:space="preserve"> </w:t>
      </w:r>
      <w:r w:rsidR="00795385" w:rsidRPr="0073013D">
        <w:rPr>
          <w:rFonts w:ascii="Arial" w:hAnsi="Arial" w:cs="Arial"/>
          <w:noProof/>
          <w:sz w:val="16"/>
          <w:szCs w:val="16"/>
        </w:rPr>
        <w:t xml:space="preserve">Formal enrolments include domestic and international student enrolments. Domestic enrolments are those made by New Zealand </w:t>
      </w:r>
      <w:r w:rsidR="00355861">
        <w:rPr>
          <w:rFonts w:ascii="Arial" w:hAnsi="Arial" w:cs="Arial"/>
          <w:noProof/>
          <w:sz w:val="16"/>
          <w:szCs w:val="16"/>
        </w:rPr>
        <w:t xml:space="preserve">citizens and </w:t>
      </w:r>
      <w:r w:rsidR="00795385" w:rsidRPr="0073013D">
        <w:rPr>
          <w:rFonts w:ascii="Arial" w:hAnsi="Arial" w:cs="Arial"/>
          <w:noProof/>
          <w:sz w:val="16"/>
          <w:szCs w:val="16"/>
        </w:rPr>
        <w:t>residents. International enrolments are those made by overseas students.</w:t>
      </w:r>
      <w:bookmarkEnd w:id="1"/>
      <w:bookmarkEnd w:id="2"/>
      <w:bookmarkEnd w:id="3"/>
    </w:p>
    <w:p w:rsidR="008D29E7" w:rsidRDefault="00F84053" w:rsidP="008D29E7">
      <w:pPr>
        <w:pStyle w:val="BodyText"/>
        <w:spacing w:after="120"/>
        <w:rPr>
          <w:rFonts w:ascii="Arial" w:hAnsi="Arial" w:cs="Arial"/>
          <w:noProof/>
          <w:sz w:val="16"/>
          <w:szCs w:val="16"/>
        </w:rPr>
      </w:pPr>
      <w:r w:rsidRPr="00F84053">
        <w:rPr>
          <w:rFonts w:ascii="Arial" w:hAnsi="Arial" w:cs="Arial"/>
          <w:noProof/>
          <w:sz w:val="16"/>
          <w:szCs w:val="16"/>
        </w:rPr>
        <w:t>Students who were enrolled at more than one qualification level have been counted in each level. Consequently, the sum of the students by level may not add to the total number of students</w:t>
      </w:r>
      <w:bookmarkStart w:id="4" w:name="_Toc292203329"/>
      <w:bookmarkStart w:id="5" w:name="_Toc292203334"/>
      <w:bookmarkStart w:id="6" w:name="_Toc292203832"/>
      <w:r>
        <w:rPr>
          <w:rFonts w:ascii="Arial" w:hAnsi="Arial" w:cs="Arial"/>
          <w:noProof/>
          <w:sz w:val="16"/>
          <w:szCs w:val="16"/>
        </w:rPr>
        <w:t>.</w:t>
      </w:r>
    </w:p>
    <w:p w:rsidR="00795385" w:rsidRPr="008D29E7" w:rsidRDefault="00795385" w:rsidP="008D29E7">
      <w:pPr>
        <w:pStyle w:val="BodyText"/>
        <w:spacing w:after="120"/>
        <w:rPr>
          <w:rFonts w:ascii="Arial" w:hAnsi="Arial" w:cs="Arial"/>
          <w:noProof/>
          <w:sz w:val="16"/>
          <w:szCs w:val="16"/>
        </w:rPr>
      </w:pPr>
      <w:r w:rsidRPr="0073013D">
        <w:rPr>
          <w:rFonts w:ascii="Arial" w:hAnsi="Arial" w:cs="Arial"/>
          <w:noProof/>
          <w:sz w:val="16"/>
          <w:szCs w:val="16"/>
        </w:rPr>
        <w:t xml:space="preserve">Equivalent full-time student units (EFTS) – </w:t>
      </w:r>
      <w:r w:rsidR="00FA634A" w:rsidRPr="0073013D">
        <w:rPr>
          <w:rFonts w:ascii="Arial" w:hAnsi="Arial" w:cs="Arial"/>
          <w:noProof/>
          <w:sz w:val="16"/>
          <w:szCs w:val="16"/>
        </w:rPr>
        <w:t>this is a measure of the</w:t>
      </w:r>
      <w:r w:rsidRPr="0073013D">
        <w:rPr>
          <w:rFonts w:ascii="Arial" w:hAnsi="Arial" w:cs="Arial"/>
          <w:noProof/>
          <w:sz w:val="16"/>
          <w:szCs w:val="16"/>
        </w:rPr>
        <w:t xml:space="preserve"> ‘size’ of each student’s enrolment. One equivalent fulltime student unit is defined as the student workload that would normally be carried out in a single academic year (or a twelve month period) by a student enrolled full-time.  Part-time study years are expressed as proportions of an</w:t>
      </w:r>
      <w:r w:rsidR="00544EBD" w:rsidRPr="0073013D">
        <w:rPr>
          <w:rFonts w:ascii="Arial" w:hAnsi="Arial" w:cs="Arial"/>
          <w:noProof/>
          <w:sz w:val="16"/>
          <w:szCs w:val="16"/>
        </w:rPr>
        <w:t xml:space="preserve"> EFTS, for example, 0.75 EFTS. </w:t>
      </w:r>
      <w:r w:rsidRPr="0073013D">
        <w:rPr>
          <w:rFonts w:ascii="Arial" w:hAnsi="Arial" w:cs="Arial"/>
          <w:noProof/>
          <w:sz w:val="16"/>
          <w:szCs w:val="16"/>
        </w:rPr>
        <w:t>The equivalent full-time student count in this report is the sum of the EFTS units for a year.</w:t>
      </w:r>
      <w:bookmarkEnd w:id="4"/>
      <w:bookmarkEnd w:id="5"/>
      <w:bookmarkEnd w:id="6"/>
    </w:p>
    <w:p w:rsidR="00DB54FD" w:rsidRDefault="00F60EE2" w:rsidP="008D29E7">
      <w:pPr>
        <w:pStyle w:val="BodyText"/>
        <w:spacing w:after="120"/>
        <w:rPr>
          <w:rFonts w:ascii="Arial" w:hAnsi="Arial" w:cs="Arial"/>
          <w:noProof/>
          <w:sz w:val="16"/>
          <w:szCs w:val="16"/>
        </w:rPr>
      </w:pPr>
      <w:r>
        <w:rPr>
          <w:rFonts w:ascii="Arial" w:hAnsi="Arial" w:cs="Arial"/>
          <w:noProof/>
          <w:sz w:val="16"/>
          <w:szCs w:val="16"/>
        </w:rPr>
        <w:t>T</w:t>
      </w:r>
      <w:r w:rsidR="00617BB4" w:rsidRPr="00617BB4">
        <w:rPr>
          <w:rFonts w:ascii="Arial" w:hAnsi="Arial" w:cs="Arial"/>
          <w:noProof/>
          <w:sz w:val="16"/>
          <w:szCs w:val="16"/>
        </w:rPr>
        <w:t>he information presented in this report is based on the tertiary education enrolments collection provided to the Ministry of Education by government-funded tertiary e</w:t>
      </w:r>
      <w:r w:rsidR="007E0F47">
        <w:rPr>
          <w:rFonts w:ascii="Arial" w:hAnsi="Arial" w:cs="Arial"/>
          <w:noProof/>
          <w:sz w:val="16"/>
          <w:szCs w:val="16"/>
        </w:rPr>
        <w:t>ducation organisations.  In 2013</w:t>
      </w:r>
      <w:r w:rsidR="00617BB4" w:rsidRPr="00617BB4">
        <w:rPr>
          <w:rFonts w:ascii="Arial" w:hAnsi="Arial" w:cs="Arial"/>
          <w:noProof/>
          <w:sz w:val="16"/>
          <w:szCs w:val="16"/>
        </w:rPr>
        <w:t>, 29 public tertiary education institutions</w:t>
      </w:r>
      <w:r w:rsidR="00D101A5">
        <w:rPr>
          <w:rFonts w:ascii="Arial" w:hAnsi="Arial" w:cs="Arial"/>
          <w:noProof/>
          <w:sz w:val="16"/>
          <w:szCs w:val="16"/>
        </w:rPr>
        <w:t xml:space="preserve"> (universities, polytechnics and w</w:t>
      </w:r>
      <w:proofErr w:type="spellStart"/>
      <w:r w:rsidR="00D101A5" w:rsidRPr="00D101A5">
        <w:rPr>
          <w:rFonts w:ascii="Arial" w:hAnsi="Arial" w:cs="Arial"/>
          <w:sz w:val="16"/>
          <w:szCs w:val="16"/>
        </w:rPr>
        <w:t>ā</w:t>
      </w:r>
      <w:r w:rsidR="00D101A5">
        <w:rPr>
          <w:rFonts w:ascii="Arial" w:hAnsi="Arial" w:cs="Arial"/>
          <w:noProof/>
          <w:sz w:val="16"/>
          <w:szCs w:val="16"/>
        </w:rPr>
        <w:t>nanga</w:t>
      </w:r>
      <w:proofErr w:type="spellEnd"/>
      <w:r w:rsidR="00D101A5" w:rsidRPr="00AD2E21">
        <w:rPr>
          <w:rFonts w:ascii="Arial" w:hAnsi="Arial" w:cs="Arial"/>
          <w:noProof/>
          <w:sz w:val="16"/>
          <w:szCs w:val="16"/>
        </w:rPr>
        <w:t>)</w:t>
      </w:r>
      <w:r w:rsidR="00617BB4" w:rsidRPr="00AD2E21">
        <w:rPr>
          <w:rFonts w:ascii="Arial" w:hAnsi="Arial" w:cs="Arial"/>
          <w:noProof/>
          <w:sz w:val="16"/>
          <w:szCs w:val="16"/>
        </w:rPr>
        <w:t xml:space="preserve"> and </w:t>
      </w:r>
      <w:r w:rsidR="00AD2E21" w:rsidRPr="00AD2E21">
        <w:rPr>
          <w:rFonts w:ascii="Arial" w:hAnsi="Arial" w:cs="Arial"/>
          <w:noProof/>
          <w:sz w:val="16"/>
          <w:szCs w:val="16"/>
        </w:rPr>
        <w:t>approximately 300</w:t>
      </w:r>
      <w:r w:rsidR="00617BB4" w:rsidRPr="00617BB4">
        <w:rPr>
          <w:rFonts w:ascii="Arial" w:hAnsi="Arial" w:cs="Arial"/>
          <w:noProof/>
          <w:sz w:val="16"/>
          <w:szCs w:val="16"/>
        </w:rPr>
        <w:t xml:space="preserve"> private training establishments received government funding.</w:t>
      </w:r>
      <w:r w:rsidR="00617BB4">
        <w:rPr>
          <w:rFonts w:ascii="Arial" w:hAnsi="Arial" w:cs="Arial"/>
          <w:noProof/>
          <w:sz w:val="16"/>
          <w:szCs w:val="16"/>
        </w:rPr>
        <w:t xml:space="preserve"> Workplace-based learning is not included in this report.</w:t>
      </w:r>
    </w:p>
    <w:p w:rsidR="00F60EE2" w:rsidRPr="0073013D" w:rsidRDefault="00F60EE2" w:rsidP="00DB54FD">
      <w:pPr>
        <w:pStyle w:val="BodyText"/>
        <w:rPr>
          <w:rFonts w:ascii="Arial" w:hAnsi="Arial" w:cs="Arial"/>
          <w:noProof/>
          <w:sz w:val="16"/>
          <w:szCs w:val="16"/>
        </w:rPr>
      </w:pPr>
      <w:r>
        <w:rPr>
          <w:rFonts w:ascii="Arial" w:hAnsi="Arial" w:cs="Arial"/>
          <w:noProof/>
          <w:sz w:val="16"/>
          <w:szCs w:val="16"/>
        </w:rPr>
        <w:t xml:space="preserve">Data in this report has been rounded. The detailed data is provided in the tables at the back of the report and on the Ministry of Education’s website: </w:t>
      </w:r>
      <w:r w:rsidRPr="00F60EE2">
        <w:rPr>
          <w:rFonts w:ascii="Arial" w:hAnsi="Arial" w:cs="Arial"/>
          <w:noProof/>
          <w:sz w:val="16"/>
          <w:szCs w:val="16"/>
        </w:rPr>
        <w:t>www.educationcounts.govt.nz/statistics/tertiary_education</w:t>
      </w:r>
      <w:r w:rsidR="008D29E7">
        <w:rPr>
          <w:rFonts w:ascii="Arial" w:hAnsi="Arial" w:cs="Arial"/>
          <w:noProof/>
          <w:sz w:val="16"/>
          <w:szCs w:val="16"/>
        </w:rPr>
        <w:t>.</w:t>
      </w:r>
    </w:p>
    <w:p w:rsidR="00326930" w:rsidRDefault="004F525C" w:rsidP="00DB54FD">
      <w:pPr>
        <w:pStyle w:val="Heading"/>
      </w:pPr>
      <w:r w:rsidRPr="00FA7235">
        <w:lastRenderedPageBreak/>
        <w:t>Figures</w:t>
      </w:r>
    </w:p>
    <w:tbl>
      <w:tblPr>
        <w:tblW w:w="8732" w:type="dxa"/>
        <w:tblLayout w:type="fixed"/>
        <w:tblLook w:val="01E0"/>
      </w:tblPr>
      <w:tblGrid>
        <w:gridCol w:w="680"/>
        <w:gridCol w:w="8052"/>
      </w:tblGrid>
      <w:tr w:rsidR="009A33C6" w:rsidTr="001B633B">
        <w:tc>
          <w:tcPr>
            <w:tcW w:w="680" w:type="dxa"/>
          </w:tcPr>
          <w:p w:rsidR="009A33C6" w:rsidRDefault="00975833" w:rsidP="0005390D">
            <w:pPr>
              <w:pStyle w:val="Figure-Table"/>
            </w:pPr>
            <w:r>
              <w:t>1.</w:t>
            </w:r>
            <w:r w:rsidR="009A33C6">
              <w:t>1</w:t>
            </w:r>
          </w:p>
          <w:p w:rsidR="009A33C6" w:rsidRDefault="00975833" w:rsidP="009A33C6">
            <w:pPr>
              <w:pStyle w:val="Figure-Table"/>
            </w:pPr>
            <w:r>
              <w:t>1.2</w:t>
            </w:r>
          </w:p>
          <w:p w:rsidR="004E6283" w:rsidRDefault="004E6283" w:rsidP="009A33C6">
            <w:pPr>
              <w:pStyle w:val="Figure-Table"/>
            </w:pPr>
            <w:r>
              <w:t>1.3</w:t>
            </w:r>
          </w:p>
          <w:p w:rsidR="009A33C6" w:rsidRDefault="00975833" w:rsidP="009A33C6">
            <w:pPr>
              <w:pStyle w:val="Figure-Table"/>
            </w:pPr>
            <w:r>
              <w:t>2.1</w:t>
            </w:r>
          </w:p>
          <w:p w:rsidR="007A4B8D" w:rsidRDefault="007A4B8D" w:rsidP="009A33C6">
            <w:pPr>
              <w:pStyle w:val="Figure-Table"/>
            </w:pPr>
            <w:r>
              <w:t>2.2</w:t>
            </w:r>
          </w:p>
          <w:p w:rsidR="007A4B8D" w:rsidRDefault="007A4B8D" w:rsidP="009A33C6">
            <w:pPr>
              <w:pStyle w:val="Figure-Table"/>
            </w:pPr>
            <w:r>
              <w:t>2.3</w:t>
            </w:r>
          </w:p>
          <w:p w:rsidR="007A4B8D" w:rsidRDefault="007A4B8D" w:rsidP="009A33C6">
            <w:pPr>
              <w:pStyle w:val="Figure-Table"/>
            </w:pPr>
            <w:r>
              <w:t>2.4</w:t>
            </w:r>
          </w:p>
          <w:p w:rsidR="004E6283" w:rsidRDefault="004E6283" w:rsidP="009A33C6">
            <w:pPr>
              <w:pStyle w:val="Figure-Table"/>
            </w:pPr>
            <w:r>
              <w:t>2.5</w:t>
            </w:r>
          </w:p>
          <w:p w:rsidR="004E6283" w:rsidRDefault="004E6283" w:rsidP="009A33C6">
            <w:pPr>
              <w:pStyle w:val="Figure-Table"/>
            </w:pPr>
            <w:r>
              <w:t>2.6</w:t>
            </w:r>
          </w:p>
          <w:p w:rsidR="009A33C6" w:rsidRDefault="00975833" w:rsidP="004E6283">
            <w:pPr>
              <w:pStyle w:val="Figure-Table"/>
              <w:spacing w:after="480"/>
            </w:pPr>
            <w:r>
              <w:t>3.1</w:t>
            </w:r>
          </w:p>
          <w:p w:rsidR="007A4B8D" w:rsidRDefault="007A4B8D" w:rsidP="007A4B8D">
            <w:pPr>
              <w:pStyle w:val="Figure-Table"/>
              <w:spacing w:after="500"/>
            </w:pPr>
            <w:r>
              <w:t>3.2</w:t>
            </w:r>
          </w:p>
          <w:p w:rsidR="007A4B8D" w:rsidRDefault="007A4B8D" w:rsidP="007A4B8D">
            <w:pPr>
              <w:pStyle w:val="Figure-Table"/>
              <w:spacing w:after="500"/>
            </w:pPr>
            <w:r>
              <w:t>3.3</w:t>
            </w:r>
          </w:p>
          <w:p w:rsidR="009A33C6" w:rsidRDefault="00975833" w:rsidP="004E6283">
            <w:pPr>
              <w:pStyle w:val="Figure-Table"/>
              <w:spacing w:before="500" w:after="240"/>
            </w:pPr>
            <w:r>
              <w:t>4.1</w:t>
            </w:r>
          </w:p>
          <w:p w:rsidR="009A33C6" w:rsidRDefault="00975833" w:rsidP="009A33C6">
            <w:pPr>
              <w:pStyle w:val="Figure-Table"/>
            </w:pPr>
            <w:r>
              <w:t>4.2</w:t>
            </w:r>
          </w:p>
          <w:p w:rsidR="007A4B8D" w:rsidRDefault="007A4B8D" w:rsidP="0005390D">
            <w:pPr>
              <w:pStyle w:val="Figure-Table"/>
              <w:spacing w:after="500"/>
            </w:pPr>
            <w:r>
              <w:t>5.1</w:t>
            </w:r>
          </w:p>
          <w:p w:rsidR="009A33C6" w:rsidRDefault="007A4B8D" w:rsidP="0005390D">
            <w:pPr>
              <w:pStyle w:val="Figure-Table"/>
              <w:spacing w:after="240"/>
            </w:pPr>
            <w:r>
              <w:t>5.2</w:t>
            </w:r>
          </w:p>
          <w:p w:rsidR="00814777" w:rsidRDefault="00814777" w:rsidP="0005390D">
            <w:pPr>
              <w:pStyle w:val="Figure-Table"/>
              <w:spacing w:after="500"/>
            </w:pPr>
            <w:r>
              <w:t>6.1</w:t>
            </w:r>
          </w:p>
          <w:p w:rsidR="00814777" w:rsidRDefault="0005390D" w:rsidP="00FB3CC0">
            <w:pPr>
              <w:pStyle w:val="Figure-Table"/>
              <w:spacing w:after="240"/>
            </w:pPr>
            <w:r>
              <w:t>7.1</w:t>
            </w:r>
          </w:p>
          <w:p w:rsidR="0005390D" w:rsidRDefault="0005390D" w:rsidP="004E6283">
            <w:pPr>
              <w:pStyle w:val="Figure-Table"/>
              <w:spacing w:after="240"/>
            </w:pPr>
            <w:r>
              <w:t>7.2</w:t>
            </w:r>
          </w:p>
        </w:tc>
        <w:tc>
          <w:tcPr>
            <w:tcW w:w="8052" w:type="dxa"/>
          </w:tcPr>
          <w:p w:rsidR="004E6283" w:rsidRDefault="005B67D2">
            <w:pPr>
              <w:pStyle w:val="TableofFigures"/>
              <w:rPr>
                <w:rFonts w:asciiTheme="minorHAnsi" w:eastAsiaTheme="minorEastAsia" w:hAnsiTheme="minorHAnsi" w:cstheme="minorBidi"/>
                <w:noProof/>
                <w:sz w:val="22"/>
                <w:szCs w:val="22"/>
                <w:lang w:eastAsia="en-NZ"/>
              </w:rPr>
            </w:pPr>
            <w:r>
              <w:fldChar w:fldCharType="begin"/>
            </w:r>
            <w:r w:rsidR="006B595C">
              <w:instrText xml:space="preserve"> TOC \h \z \t "Figure label" \c </w:instrText>
            </w:r>
            <w:r>
              <w:fldChar w:fldCharType="separate"/>
            </w:r>
            <w:hyperlink w:anchor="_Toc384292884" w:history="1">
              <w:r w:rsidR="004E6283" w:rsidRPr="00B832DC">
                <w:rPr>
                  <w:rStyle w:val="Hyperlink"/>
                  <w:noProof/>
                </w:rPr>
                <w:t>Distribution of domestic study by qualification level</w:t>
              </w:r>
              <w:r w:rsidR="004E6283">
                <w:rPr>
                  <w:noProof/>
                  <w:webHidden/>
                </w:rPr>
                <w:tab/>
              </w:r>
              <w:r>
                <w:rPr>
                  <w:noProof/>
                  <w:webHidden/>
                </w:rPr>
                <w:fldChar w:fldCharType="begin"/>
              </w:r>
              <w:r w:rsidR="004E6283">
                <w:rPr>
                  <w:noProof/>
                  <w:webHidden/>
                </w:rPr>
                <w:instrText xml:space="preserve"> PAGEREF _Toc384292884 \h </w:instrText>
              </w:r>
              <w:r>
                <w:rPr>
                  <w:noProof/>
                  <w:webHidden/>
                </w:rPr>
              </w:r>
              <w:r>
                <w:rPr>
                  <w:noProof/>
                  <w:webHidden/>
                </w:rPr>
                <w:fldChar w:fldCharType="separate"/>
              </w:r>
              <w:r w:rsidR="00375A85">
                <w:rPr>
                  <w:noProof/>
                  <w:webHidden/>
                </w:rPr>
                <w:t>1</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85" w:history="1">
              <w:r w:rsidR="004E6283" w:rsidRPr="00B832DC">
                <w:rPr>
                  <w:rStyle w:val="Hyperlink"/>
                  <w:noProof/>
                </w:rPr>
                <w:t>Annual change in formal tertiary education enrolments</w:t>
              </w:r>
              <w:r w:rsidR="004E6283">
                <w:rPr>
                  <w:noProof/>
                  <w:webHidden/>
                </w:rPr>
                <w:tab/>
              </w:r>
              <w:r>
                <w:rPr>
                  <w:noProof/>
                  <w:webHidden/>
                </w:rPr>
                <w:fldChar w:fldCharType="begin"/>
              </w:r>
              <w:r w:rsidR="004E6283">
                <w:rPr>
                  <w:noProof/>
                  <w:webHidden/>
                </w:rPr>
                <w:instrText xml:space="preserve"> PAGEREF _Toc384292885 \h </w:instrText>
              </w:r>
              <w:r>
                <w:rPr>
                  <w:noProof/>
                  <w:webHidden/>
                </w:rPr>
              </w:r>
              <w:r>
                <w:rPr>
                  <w:noProof/>
                  <w:webHidden/>
                </w:rPr>
                <w:fldChar w:fldCharType="separate"/>
              </w:r>
              <w:r w:rsidR="00375A85">
                <w:rPr>
                  <w:noProof/>
                  <w:webHidden/>
                </w:rPr>
                <w:t>2</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86" w:history="1">
              <w:r w:rsidR="004E6283" w:rsidRPr="00B832DC">
                <w:rPr>
                  <w:rStyle w:val="Hyperlink"/>
                  <w:noProof/>
                </w:rPr>
                <w:t>Domestic and international tertiary education enrolments</w:t>
              </w:r>
              <w:r w:rsidR="004E6283">
                <w:rPr>
                  <w:noProof/>
                  <w:webHidden/>
                </w:rPr>
                <w:tab/>
              </w:r>
              <w:r>
                <w:rPr>
                  <w:noProof/>
                  <w:webHidden/>
                </w:rPr>
                <w:fldChar w:fldCharType="begin"/>
              </w:r>
              <w:r w:rsidR="004E6283">
                <w:rPr>
                  <w:noProof/>
                  <w:webHidden/>
                </w:rPr>
                <w:instrText xml:space="preserve"> PAGEREF _Toc384292886 \h </w:instrText>
              </w:r>
              <w:r>
                <w:rPr>
                  <w:noProof/>
                  <w:webHidden/>
                </w:rPr>
              </w:r>
              <w:r>
                <w:rPr>
                  <w:noProof/>
                  <w:webHidden/>
                </w:rPr>
                <w:fldChar w:fldCharType="separate"/>
              </w:r>
              <w:r w:rsidR="00375A85">
                <w:rPr>
                  <w:noProof/>
                  <w:webHidden/>
                </w:rPr>
                <w:t>3</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87" w:history="1">
              <w:r w:rsidR="004E6283" w:rsidRPr="00B832DC">
                <w:rPr>
                  <w:rStyle w:val="Hyperlink"/>
                  <w:noProof/>
                </w:rPr>
                <w:t>Domestic formal enrolments in non-degree and higher-level qualifications</w:t>
              </w:r>
              <w:r w:rsidR="004E6283">
                <w:rPr>
                  <w:noProof/>
                  <w:webHidden/>
                </w:rPr>
                <w:tab/>
              </w:r>
              <w:r>
                <w:rPr>
                  <w:noProof/>
                  <w:webHidden/>
                </w:rPr>
                <w:fldChar w:fldCharType="begin"/>
              </w:r>
              <w:r w:rsidR="004E6283">
                <w:rPr>
                  <w:noProof/>
                  <w:webHidden/>
                </w:rPr>
                <w:instrText xml:space="preserve"> PAGEREF _Toc384292887 \h </w:instrText>
              </w:r>
              <w:r>
                <w:rPr>
                  <w:noProof/>
                  <w:webHidden/>
                </w:rPr>
              </w:r>
              <w:r>
                <w:rPr>
                  <w:noProof/>
                  <w:webHidden/>
                </w:rPr>
                <w:fldChar w:fldCharType="separate"/>
              </w:r>
              <w:r w:rsidR="00375A85">
                <w:rPr>
                  <w:noProof/>
                  <w:webHidden/>
                </w:rPr>
                <w:t>4</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88" w:history="1">
              <w:r w:rsidR="004E6283" w:rsidRPr="00B832DC">
                <w:rPr>
                  <w:rStyle w:val="Hyperlink"/>
                  <w:noProof/>
                </w:rPr>
                <w:t>International formal enrolments in non-degree and higher-level qualifications</w:t>
              </w:r>
              <w:r w:rsidR="004E6283">
                <w:rPr>
                  <w:noProof/>
                  <w:webHidden/>
                </w:rPr>
                <w:tab/>
              </w:r>
              <w:r>
                <w:rPr>
                  <w:noProof/>
                  <w:webHidden/>
                </w:rPr>
                <w:fldChar w:fldCharType="begin"/>
              </w:r>
              <w:r w:rsidR="004E6283">
                <w:rPr>
                  <w:noProof/>
                  <w:webHidden/>
                </w:rPr>
                <w:instrText xml:space="preserve"> PAGEREF _Toc384292888 \h </w:instrText>
              </w:r>
              <w:r>
                <w:rPr>
                  <w:noProof/>
                  <w:webHidden/>
                </w:rPr>
              </w:r>
              <w:r>
                <w:rPr>
                  <w:noProof/>
                  <w:webHidden/>
                </w:rPr>
                <w:fldChar w:fldCharType="separate"/>
              </w:r>
              <w:r w:rsidR="00375A85">
                <w:rPr>
                  <w:noProof/>
                  <w:webHidden/>
                </w:rPr>
                <w:t>5</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89" w:history="1">
              <w:r w:rsidR="004E6283" w:rsidRPr="00B832DC">
                <w:rPr>
                  <w:rStyle w:val="Hyperlink"/>
                  <w:noProof/>
                </w:rPr>
                <w:t>Domestic students aged 18 to 24 years in formal study by qualification level</w:t>
              </w:r>
              <w:r w:rsidR="004E6283">
                <w:rPr>
                  <w:noProof/>
                  <w:webHidden/>
                </w:rPr>
                <w:tab/>
              </w:r>
              <w:r>
                <w:rPr>
                  <w:noProof/>
                  <w:webHidden/>
                </w:rPr>
                <w:fldChar w:fldCharType="begin"/>
              </w:r>
              <w:r w:rsidR="004E6283">
                <w:rPr>
                  <w:noProof/>
                  <w:webHidden/>
                </w:rPr>
                <w:instrText xml:space="preserve"> PAGEREF _Toc384292889 \h </w:instrText>
              </w:r>
              <w:r>
                <w:rPr>
                  <w:noProof/>
                  <w:webHidden/>
                </w:rPr>
              </w:r>
              <w:r>
                <w:rPr>
                  <w:noProof/>
                  <w:webHidden/>
                </w:rPr>
                <w:fldChar w:fldCharType="separate"/>
              </w:r>
              <w:r w:rsidR="00375A85">
                <w:rPr>
                  <w:noProof/>
                  <w:webHidden/>
                </w:rPr>
                <w:t>5</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90" w:history="1">
              <w:r w:rsidR="004E6283" w:rsidRPr="00B832DC">
                <w:rPr>
                  <w:rStyle w:val="Hyperlink"/>
                  <w:noProof/>
                </w:rPr>
                <w:t>New Zealand population aged 18 to 24  years</w:t>
              </w:r>
              <w:r w:rsidR="004E6283">
                <w:rPr>
                  <w:noProof/>
                  <w:webHidden/>
                </w:rPr>
                <w:tab/>
              </w:r>
              <w:r>
                <w:rPr>
                  <w:noProof/>
                  <w:webHidden/>
                </w:rPr>
                <w:fldChar w:fldCharType="begin"/>
              </w:r>
              <w:r w:rsidR="004E6283">
                <w:rPr>
                  <w:noProof/>
                  <w:webHidden/>
                </w:rPr>
                <w:instrText xml:space="preserve"> PAGEREF _Toc384292890 \h </w:instrText>
              </w:r>
              <w:r>
                <w:rPr>
                  <w:noProof/>
                  <w:webHidden/>
                </w:rPr>
              </w:r>
              <w:r>
                <w:rPr>
                  <w:noProof/>
                  <w:webHidden/>
                </w:rPr>
                <w:fldChar w:fldCharType="separate"/>
              </w:r>
              <w:r w:rsidR="00375A85">
                <w:rPr>
                  <w:noProof/>
                  <w:webHidden/>
                </w:rPr>
                <w:t>6</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91" w:history="1">
              <w:r w:rsidR="004E6283" w:rsidRPr="00B832DC">
                <w:rPr>
                  <w:rStyle w:val="Hyperlink"/>
                  <w:noProof/>
                </w:rPr>
                <w:t>Domestic students aged 25 years and over in formal study by qualification level</w:t>
              </w:r>
              <w:r w:rsidR="004E6283">
                <w:rPr>
                  <w:noProof/>
                  <w:webHidden/>
                </w:rPr>
                <w:tab/>
              </w:r>
              <w:r>
                <w:rPr>
                  <w:noProof/>
                  <w:webHidden/>
                </w:rPr>
                <w:fldChar w:fldCharType="begin"/>
              </w:r>
              <w:r w:rsidR="004E6283">
                <w:rPr>
                  <w:noProof/>
                  <w:webHidden/>
                </w:rPr>
                <w:instrText xml:space="preserve"> PAGEREF _Toc384292891 \h </w:instrText>
              </w:r>
              <w:r>
                <w:rPr>
                  <w:noProof/>
                  <w:webHidden/>
                </w:rPr>
              </w:r>
              <w:r>
                <w:rPr>
                  <w:noProof/>
                  <w:webHidden/>
                </w:rPr>
                <w:fldChar w:fldCharType="separate"/>
              </w:r>
              <w:r w:rsidR="00375A85">
                <w:rPr>
                  <w:noProof/>
                  <w:webHidden/>
                </w:rPr>
                <w:t>7</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92" w:history="1">
              <w:r w:rsidR="004E6283" w:rsidRPr="00B832DC">
                <w:rPr>
                  <w:rStyle w:val="Hyperlink"/>
                  <w:noProof/>
                </w:rPr>
                <w:t>International students in formal study by qualification level</w:t>
              </w:r>
              <w:r w:rsidR="004E6283">
                <w:rPr>
                  <w:noProof/>
                  <w:webHidden/>
                </w:rPr>
                <w:tab/>
              </w:r>
              <w:r>
                <w:rPr>
                  <w:noProof/>
                  <w:webHidden/>
                </w:rPr>
                <w:fldChar w:fldCharType="begin"/>
              </w:r>
              <w:r w:rsidR="004E6283">
                <w:rPr>
                  <w:noProof/>
                  <w:webHidden/>
                </w:rPr>
                <w:instrText xml:space="preserve"> PAGEREF _Toc384292892 \h </w:instrText>
              </w:r>
              <w:r>
                <w:rPr>
                  <w:noProof/>
                  <w:webHidden/>
                </w:rPr>
              </w:r>
              <w:r>
                <w:rPr>
                  <w:noProof/>
                  <w:webHidden/>
                </w:rPr>
                <w:fldChar w:fldCharType="separate"/>
              </w:r>
              <w:r w:rsidR="00375A85">
                <w:rPr>
                  <w:noProof/>
                  <w:webHidden/>
                </w:rPr>
                <w:t>1</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93" w:history="1">
              <w:r w:rsidR="004E6283" w:rsidRPr="00B832DC">
                <w:rPr>
                  <w:rStyle w:val="Hyperlink"/>
                  <w:noProof/>
                </w:rPr>
                <w:t>Participation rates in tertiary education for the population aged 15 years and over by qualification level</w:t>
              </w:r>
              <w:r w:rsidR="004E6283">
                <w:rPr>
                  <w:noProof/>
                  <w:webHidden/>
                </w:rPr>
                <w:tab/>
              </w:r>
              <w:r>
                <w:rPr>
                  <w:noProof/>
                  <w:webHidden/>
                </w:rPr>
                <w:fldChar w:fldCharType="begin"/>
              </w:r>
              <w:r w:rsidR="004E6283">
                <w:rPr>
                  <w:noProof/>
                  <w:webHidden/>
                </w:rPr>
                <w:instrText xml:space="preserve"> PAGEREF _Toc384292893 \h </w:instrText>
              </w:r>
              <w:r>
                <w:rPr>
                  <w:noProof/>
                  <w:webHidden/>
                </w:rPr>
              </w:r>
              <w:r>
                <w:rPr>
                  <w:noProof/>
                  <w:webHidden/>
                </w:rPr>
                <w:fldChar w:fldCharType="separate"/>
              </w:r>
              <w:r w:rsidR="00375A85">
                <w:rPr>
                  <w:noProof/>
                  <w:webHidden/>
                </w:rPr>
                <w:t>2</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94" w:history="1">
              <w:r w:rsidR="004E6283" w:rsidRPr="00B832DC">
                <w:rPr>
                  <w:rStyle w:val="Hyperlink"/>
                  <w:noProof/>
                </w:rPr>
                <w:t>Participation rates in tertiary education for the population aged 18 to 24 years by qualification level</w:t>
              </w:r>
              <w:r w:rsidR="004E6283">
                <w:rPr>
                  <w:noProof/>
                  <w:webHidden/>
                </w:rPr>
                <w:tab/>
              </w:r>
              <w:r>
                <w:rPr>
                  <w:noProof/>
                  <w:webHidden/>
                </w:rPr>
                <w:fldChar w:fldCharType="begin"/>
              </w:r>
              <w:r w:rsidR="004E6283">
                <w:rPr>
                  <w:noProof/>
                  <w:webHidden/>
                </w:rPr>
                <w:instrText xml:space="preserve"> PAGEREF _Toc384292894 \h </w:instrText>
              </w:r>
              <w:r>
                <w:rPr>
                  <w:noProof/>
                  <w:webHidden/>
                </w:rPr>
              </w:r>
              <w:r>
                <w:rPr>
                  <w:noProof/>
                  <w:webHidden/>
                </w:rPr>
                <w:fldChar w:fldCharType="separate"/>
              </w:r>
              <w:r w:rsidR="00375A85">
                <w:rPr>
                  <w:noProof/>
                  <w:webHidden/>
                </w:rPr>
                <w:t>3</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95" w:history="1">
              <w:r w:rsidR="004E6283" w:rsidRPr="00B832DC">
                <w:rPr>
                  <w:rStyle w:val="Hyperlink"/>
                  <w:noProof/>
                </w:rPr>
                <w:t>Participation rates in tertiary education for the population aged 25 years and over by qualification level</w:t>
              </w:r>
              <w:r w:rsidR="004E6283">
                <w:rPr>
                  <w:noProof/>
                  <w:webHidden/>
                </w:rPr>
                <w:tab/>
              </w:r>
              <w:r>
                <w:rPr>
                  <w:noProof/>
                  <w:webHidden/>
                </w:rPr>
                <w:fldChar w:fldCharType="begin"/>
              </w:r>
              <w:r w:rsidR="004E6283">
                <w:rPr>
                  <w:noProof/>
                  <w:webHidden/>
                </w:rPr>
                <w:instrText xml:space="preserve"> PAGEREF _Toc384292895 \h </w:instrText>
              </w:r>
              <w:r>
                <w:rPr>
                  <w:noProof/>
                  <w:webHidden/>
                </w:rPr>
              </w:r>
              <w:r>
                <w:rPr>
                  <w:noProof/>
                  <w:webHidden/>
                </w:rPr>
                <w:fldChar w:fldCharType="separate"/>
              </w:r>
              <w:r w:rsidR="00375A85">
                <w:rPr>
                  <w:noProof/>
                  <w:webHidden/>
                </w:rPr>
                <w:t>4</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96" w:history="1">
              <w:r w:rsidR="004E6283" w:rsidRPr="00B832DC">
                <w:rPr>
                  <w:rStyle w:val="Hyperlink"/>
                  <w:noProof/>
                </w:rPr>
                <w:t>Distribution of domestic students in degree and higher qualifications</w:t>
              </w:r>
              <w:r w:rsidR="004E6283">
                <w:rPr>
                  <w:noProof/>
                  <w:webHidden/>
                </w:rPr>
                <w:tab/>
              </w:r>
              <w:r>
                <w:rPr>
                  <w:noProof/>
                  <w:webHidden/>
                </w:rPr>
                <w:fldChar w:fldCharType="begin"/>
              </w:r>
              <w:r w:rsidR="004E6283">
                <w:rPr>
                  <w:noProof/>
                  <w:webHidden/>
                </w:rPr>
                <w:instrText xml:space="preserve"> PAGEREF _Toc384292896 \h </w:instrText>
              </w:r>
              <w:r>
                <w:rPr>
                  <w:noProof/>
                  <w:webHidden/>
                </w:rPr>
              </w:r>
              <w:r>
                <w:rPr>
                  <w:noProof/>
                  <w:webHidden/>
                </w:rPr>
                <w:fldChar w:fldCharType="separate"/>
              </w:r>
              <w:r w:rsidR="00375A85">
                <w:rPr>
                  <w:noProof/>
                  <w:webHidden/>
                </w:rPr>
                <w:t>7</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97" w:history="1">
              <w:r w:rsidR="004E6283" w:rsidRPr="00B832DC">
                <w:rPr>
                  <w:rStyle w:val="Hyperlink"/>
                  <w:noProof/>
                </w:rPr>
                <w:t>Distribution of domestic students in non-degree qualifications</w:t>
              </w:r>
              <w:r w:rsidR="004E6283">
                <w:rPr>
                  <w:noProof/>
                  <w:webHidden/>
                </w:rPr>
                <w:tab/>
              </w:r>
              <w:r>
                <w:rPr>
                  <w:noProof/>
                  <w:webHidden/>
                </w:rPr>
                <w:fldChar w:fldCharType="begin"/>
              </w:r>
              <w:r w:rsidR="004E6283">
                <w:rPr>
                  <w:noProof/>
                  <w:webHidden/>
                </w:rPr>
                <w:instrText xml:space="preserve"> PAGEREF _Toc384292897 \h </w:instrText>
              </w:r>
              <w:r>
                <w:rPr>
                  <w:noProof/>
                  <w:webHidden/>
                </w:rPr>
              </w:r>
              <w:r>
                <w:rPr>
                  <w:noProof/>
                  <w:webHidden/>
                </w:rPr>
                <w:fldChar w:fldCharType="separate"/>
              </w:r>
              <w:r w:rsidR="00375A85">
                <w:rPr>
                  <w:noProof/>
                  <w:webHidden/>
                </w:rPr>
                <w:t>8</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98" w:history="1">
              <w:r w:rsidR="004E6283" w:rsidRPr="00B832DC">
                <w:rPr>
                  <w:rStyle w:val="Hyperlink"/>
                  <w:noProof/>
                </w:rPr>
                <w:t>Total number of students and equivalent full-time student units in formal tertiary education</w:t>
              </w:r>
              <w:r w:rsidR="004E6283">
                <w:rPr>
                  <w:noProof/>
                  <w:webHidden/>
                </w:rPr>
                <w:tab/>
              </w:r>
              <w:r>
                <w:rPr>
                  <w:noProof/>
                  <w:webHidden/>
                </w:rPr>
                <w:fldChar w:fldCharType="begin"/>
              </w:r>
              <w:r w:rsidR="004E6283">
                <w:rPr>
                  <w:noProof/>
                  <w:webHidden/>
                </w:rPr>
                <w:instrText xml:space="preserve"> PAGEREF _Toc384292898 \h </w:instrText>
              </w:r>
              <w:r>
                <w:rPr>
                  <w:noProof/>
                  <w:webHidden/>
                </w:rPr>
              </w:r>
              <w:r>
                <w:rPr>
                  <w:noProof/>
                  <w:webHidden/>
                </w:rPr>
                <w:fldChar w:fldCharType="separate"/>
              </w:r>
              <w:r w:rsidR="00375A85">
                <w:rPr>
                  <w:noProof/>
                  <w:webHidden/>
                </w:rPr>
                <w:t>9</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899" w:history="1">
              <w:r w:rsidR="004E6283" w:rsidRPr="00B832DC">
                <w:rPr>
                  <w:rStyle w:val="Hyperlink"/>
                  <w:noProof/>
                </w:rPr>
                <w:t>Average study load of domestic and international students in formal tertiary education</w:t>
              </w:r>
              <w:r w:rsidR="004E6283">
                <w:rPr>
                  <w:noProof/>
                  <w:webHidden/>
                </w:rPr>
                <w:tab/>
              </w:r>
              <w:r>
                <w:rPr>
                  <w:noProof/>
                  <w:webHidden/>
                </w:rPr>
                <w:fldChar w:fldCharType="begin"/>
              </w:r>
              <w:r w:rsidR="004E6283">
                <w:rPr>
                  <w:noProof/>
                  <w:webHidden/>
                </w:rPr>
                <w:instrText xml:space="preserve"> PAGEREF _Toc384292899 \h </w:instrText>
              </w:r>
              <w:r>
                <w:rPr>
                  <w:noProof/>
                  <w:webHidden/>
                </w:rPr>
              </w:r>
              <w:r>
                <w:rPr>
                  <w:noProof/>
                  <w:webHidden/>
                </w:rPr>
                <w:fldChar w:fldCharType="separate"/>
              </w:r>
              <w:r w:rsidR="00375A85">
                <w:rPr>
                  <w:noProof/>
                  <w:webHidden/>
                </w:rPr>
                <w:t>10</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900" w:history="1">
              <w:r w:rsidR="004E6283" w:rsidRPr="00B832DC">
                <w:rPr>
                  <w:rStyle w:val="Hyperlink"/>
                  <w:noProof/>
                </w:rPr>
                <w:t>Equivalent full-time students units in formal study by provider type and qualification level</w:t>
              </w:r>
              <w:r w:rsidR="004E6283">
                <w:rPr>
                  <w:noProof/>
                  <w:webHidden/>
                </w:rPr>
                <w:tab/>
              </w:r>
              <w:r>
                <w:rPr>
                  <w:noProof/>
                  <w:webHidden/>
                </w:rPr>
                <w:fldChar w:fldCharType="begin"/>
              </w:r>
              <w:r w:rsidR="004E6283">
                <w:rPr>
                  <w:noProof/>
                  <w:webHidden/>
                </w:rPr>
                <w:instrText xml:space="preserve"> PAGEREF _Toc384292900 \h </w:instrText>
              </w:r>
              <w:r>
                <w:rPr>
                  <w:noProof/>
                  <w:webHidden/>
                </w:rPr>
              </w:r>
              <w:r>
                <w:rPr>
                  <w:noProof/>
                  <w:webHidden/>
                </w:rPr>
                <w:fldChar w:fldCharType="separate"/>
              </w:r>
              <w:r w:rsidR="00375A85">
                <w:rPr>
                  <w:noProof/>
                  <w:webHidden/>
                </w:rPr>
                <w:t>11</w:t>
              </w:r>
              <w:r>
                <w:rPr>
                  <w:noProof/>
                  <w:webHidden/>
                </w:rPr>
                <w:fldChar w:fldCharType="end"/>
              </w:r>
            </w:hyperlink>
          </w:p>
          <w:p w:rsidR="004E6283" w:rsidRDefault="005B67D2">
            <w:pPr>
              <w:pStyle w:val="TableofFigures"/>
              <w:rPr>
                <w:rFonts w:asciiTheme="minorHAnsi" w:eastAsiaTheme="minorEastAsia" w:hAnsiTheme="minorHAnsi" w:cstheme="minorBidi"/>
                <w:noProof/>
                <w:sz w:val="22"/>
                <w:szCs w:val="22"/>
                <w:lang w:eastAsia="en-NZ"/>
              </w:rPr>
            </w:pPr>
            <w:hyperlink w:anchor="_Toc384292901" w:history="1">
              <w:r w:rsidR="004E6283" w:rsidRPr="00B832DC">
                <w:rPr>
                  <w:rStyle w:val="Hyperlink"/>
                  <w:noProof/>
                </w:rPr>
                <w:t>Annual change in the number of domestic students by gender</w:t>
              </w:r>
              <w:r w:rsidR="004E6283">
                <w:rPr>
                  <w:noProof/>
                  <w:webHidden/>
                </w:rPr>
                <w:tab/>
              </w:r>
              <w:r>
                <w:rPr>
                  <w:noProof/>
                  <w:webHidden/>
                </w:rPr>
                <w:fldChar w:fldCharType="begin"/>
              </w:r>
              <w:r w:rsidR="004E6283">
                <w:rPr>
                  <w:noProof/>
                  <w:webHidden/>
                </w:rPr>
                <w:instrText xml:space="preserve"> PAGEREF _Toc384292901 \h </w:instrText>
              </w:r>
              <w:r>
                <w:rPr>
                  <w:noProof/>
                  <w:webHidden/>
                </w:rPr>
              </w:r>
              <w:r>
                <w:rPr>
                  <w:noProof/>
                  <w:webHidden/>
                </w:rPr>
                <w:fldChar w:fldCharType="separate"/>
              </w:r>
              <w:r w:rsidR="00375A85">
                <w:rPr>
                  <w:noProof/>
                  <w:webHidden/>
                </w:rPr>
                <w:t>12</w:t>
              </w:r>
              <w:r>
                <w:rPr>
                  <w:noProof/>
                  <w:webHidden/>
                </w:rPr>
                <w:fldChar w:fldCharType="end"/>
              </w:r>
            </w:hyperlink>
          </w:p>
          <w:p w:rsidR="006B595C" w:rsidRDefault="005B67D2" w:rsidP="004E6283">
            <w:pPr>
              <w:pStyle w:val="TableofFigures"/>
            </w:pPr>
            <w:hyperlink w:anchor="_Toc384292902" w:history="1">
              <w:r w:rsidR="004E6283" w:rsidRPr="00B832DC">
                <w:rPr>
                  <w:rStyle w:val="Hyperlink"/>
                  <w:noProof/>
                </w:rPr>
                <w:t>Distribution of domestic students in 2013 by qualification level and gender</w:t>
              </w:r>
              <w:r w:rsidR="004E6283">
                <w:rPr>
                  <w:noProof/>
                  <w:webHidden/>
                </w:rPr>
                <w:tab/>
              </w:r>
              <w:r>
                <w:rPr>
                  <w:noProof/>
                  <w:webHidden/>
                </w:rPr>
                <w:fldChar w:fldCharType="begin"/>
              </w:r>
              <w:r w:rsidR="004E6283">
                <w:rPr>
                  <w:noProof/>
                  <w:webHidden/>
                </w:rPr>
                <w:instrText xml:space="preserve"> PAGEREF _Toc384292902 \h </w:instrText>
              </w:r>
              <w:r>
                <w:rPr>
                  <w:noProof/>
                  <w:webHidden/>
                </w:rPr>
              </w:r>
              <w:r>
                <w:rPr>
                  <w:noProof/>
                  <w:webHidden/>
                </w:rPr>
                <w:fldChar w:fldCharType="separate"/>
              </w:r>
              <w:r w:rsidR="00375A85">
                <w:rPr>
                  <w:noProof/>
                  <w:webHidden/>
                </w:rPr>
                <w:t>13</w:t>
              </w:r>
              <w:r>
                <w:rPr>
                  <w:noProof/>
                  <w:webHidden/>
                </w:rPr>
                <w:fldChar w:fldCharType="end"/>
              </w:r>
            </w:hyperlink>
            <w:r>
              <w:fldChar w:fldCharType="end"/>
            </w:r>
          </w:p>
        </w:tc>
      </w:tr>
    </w:tbl>
    <w:p w:rsidR="007E0F47" w:rsidRDefault="007E0F47">
      <w:pPr>
        <w:rPr>
          <w:rFonts w:ascii="Arial" w:hAnsi="Arial"/>
          <w:caps/>
          <w:sz w:val="32"/>
        </w:rPr>
      </w:pPr>
      <w:r>
        <w:br w:type="page"/>
      </w:r>
    </w:p>
    <w:p w:rsidR="00D157EF" w:rsidRDefault="00D157EF" w:rsidP="00FB3CC0">
      <w:pPr>
        <w:pStyle w:val="Heading"/>
      </w:pPr>
      <w:r>
        <w:lastRenderedPageBreak/>
        <w:t>Tables</w:t>
      </w:r>
    </w:p>
    <w:tbl>
      <w:tblPr>
        <w:tblW w:w="8732" w:type="dxa"/>
        <w:tblLayout w:type="fixed"/>
        <w:tblLook w:val="01E0"/>
      </w:tblPr>
      <w:tblGrid>
        <w:gridCol w:w="680"/>
        <w:gridCol w:w="8052"/>
      </w:tblGrid>
      <w:tr w:rsidR="00D157EF" w:rsidTr="00D157EF">
        <w:tc>
          <w:tcPr>
            <w:tcW w:w="680" w:type="dxa"/>
          </w:tcPr>
          <w:p w:rsidR="00D157EF" w:rsidRDefault="008A23C4" w:rsidP="00860FB5">
            <w:pPr>
              <w:pStyle w:val="Figure-Table"/>
              <w:tabs>
                <w:tab w:val="center" w:pos="4253"/>
                <w:tab w:val="right" w:pos="8505"/>
              </w:tabs>
              <w:spacing w:after="0"/>
            </w:pPr>
            <w:r>
              <w:t>4.</w:t>
            </w:r>
            <w:r w:rsidR="00D157EF">
              <w:t>1</w:t>
            </w:r>
          </w:p>
          <w:p w:rsidR="00D157EF" w:rsidRDefault="0036382F" w:rsidP="00D157EF">
            <w:pPr>
              <w:pStyle w:val="Figure-Table"/>
              <w:tabs>
                <w:tab w:val="center" w:pos="4253"/>
                <w:tab w:val="right" w:pos="8505"/>
              </w:tabs>
              <w:spacing w:after="0"/>
            </w:pPr>
            <w:r>
              <w:t>4.2</w:t>
            </w:r>
          </w:p>
          <w:p w:rsidR="00D157EF" w:rsidRDefault="0036382F" w:rsidP="00814777">
            <w:pPr>
              <w:pStyle w:val="Figure-Table"/>
              <w:tabs>
                <w:tab w:val="center" w:pos="4253"/>
                <w:tab w:val="right" w:pos="8505"/>
              </w:tabs>
              <w:spacing w:after="0"/>
            </w:pPr>
            <w:r>
              <w:t>8.1</w:t>
            </w:r>
          </w:p>
          <w:p w:rsidR="004E1F9F" w:rsidRDefault="0036382F" w:rsidP="004E1F9F">
            <w:pPr>
              <w:pStyle w:val="Figure-Table"/>
              <w:tabs>
                <w:tab w:val="center" w:pos="4253"/>
                <w:tab w:val="right" w:pos="8505"/>
              </w:tabs>
              <w:spacing w:after="0"/>
            </w:pPr>
            <w:r>
              <w:t>8.2</w:t>
            </w:r>
          </w:p>
          <w:p w:rsidR="00FB3CC0" w:rsidRDefault="0036382F" w:rsidP="004E1F9F">
            <w:pPr>
              <w:pStyle w:val="Figure-Table"/>
              <w:tabs>
                <w:tab w:val="center" w:pos="4253"/>
                <w:tab w:val="right" w:pos="8505"/>
              </w:tabs>
              <w:spacing w:after="0"/>
            </w:pPr>
            <w:r>
              <w:t>8.3</w:t>
            </w:r>
          </w:p>
          <w:p w:rsidR="00FB3CC0" w:rsidRDefault="0036382F" w:rsidP="00814777">
            <w:pPr>
              <w:pStyle w:val="Figure-Table"/>
              <w:tabs>
                <w:tab w:val="center" w:pos="4253"/>
                <w:tab w:val="right" w:pos="8505"/>
              </w:tabs>
              <w:spacing w:after="0"/>
            </w:pPr>
            <w:r>
              <w:t>8.4</w:t>
            </w:r>
          </w:p>
          <w:p w:rsidR="004E1F9F" w:rsidRDefault="004E1F9F" w:rsidP="00814777">
            <w:pPr>
              <w:pStyle w:val="Figure-Table"/>
              <w:tabs>
                <w:tab w:val="center" w:pos="4253"/>
                <w:tab w:val="right" w:pos="8505"/>
              </w:tabs>
              <w:spacing w:after="0"/>
            </w:pPr>
            <w:r>
              <w:t>8.5</w:t>
            </w:r>
          </w:p>
        </w:tc>
        <w:tc>
          <w:tcPr>
            <w:tcW w:w="8052" w:type="dxa"/>
          </w:tcPr>
          <w:p w:rsidR="00860FB5" w:rsidRDefault="005B67D2">
            <w:pPr>
              <w:pStyle w:val="TableofFigures"/>
              <w:rPr>
                <w:rFonts w:asciiTheme="minorHAnsi" w:eastAsiaTheme="minorEastAsia" w:hAnsiTheme="minorHAnsi" w:cstheme="minorBidi"/>
                <w:noProof/>
                <w:sz w:val="22"/>
                <w:szCs w:val="22"/>
                <w:lang w:eastAsia="en-NZ"/>
              </w:rPr>
            </w:pPr>
            <w:r>
              <w:fldChar w:fldCharType="begin"/>
            </w:r>
            <w:r w:rsidR="00D157EF">
              <w:instrText xml:space="preserve"> TOC \h \z \t "Table label" \c </w:instrText>
            </w:r>
            <w:r>
              <w:fldChar w:fldCharType="separate"/>
            </w:r>
            <w:hyperlink w:anchor="_Toc384287873" w:history="1">
              <w:r w:rsidR="00860FB5" w:rsidRPr="0050264E">
                <w:rPr>
                  <w:rStyle w:val="Hyperlink"/>
                  <w:noProof/>
                </w:rPr>
                <w:t>Domestic and international students in formal study by qualification level</w:t>
              </w:r>
              <w:r w:rsidR="00860FB5">
                <w:rPr>
                  <w:noProof/>
                  <w:webHidden/>
                </w:rPr>
                <w:tab/>
              </w:r>
              <w:r>
                <w:rPr>
                  <w:noProof/>
                  <w:webHidden/>
                </w:rPr>
                <w:fldChar w:fldCharType="begin"/>
              </w:r>
              <w:r w:rsidR="00860FB5">
                <w:rPr>
                  <w:noProof/>
                  <w:webHidden/>
                </w:rPr>
                <w:instrText xml:space="preserve"> PAGEREF _Toc384287873 \h </w:instrText>
              </w:r>
              <w:r>
                <w:rPr>
                  <w:noProof/>
                  <w:webHidden/>
                </w:rPr>
              </w:r>
              <w:r>
                <w:rPr>
                  <w:noProof/>
                  <w:webHidden/>
                </w:rPr>
                <w:fldChar w:fldCharType="separate"/>
              </w:r>
              <w:r w:rsidR="00375A85">
                <w:rPr>
                  <w:noProof/>
                  <w:webHidden/>
                </w:rPr>
                <w:t>5</w:t>
              </w:r>
              <w:r>
                <w:rPr>
                  <w:noProof/>
                  <w:webHidden/>
                </w:rPr>
                <w:fldChar w:fldCharType="end"/>
              </w:r>
            </w:hyperlink>
          </w:p>
          <w:p w:rsidR="00860FB5" w:rsidRDefault="005B67D2">
            <w:pPr>
              <w:pStyle w:val="TableofFigures"/>
              <w:rPr>
                <w:rFonts w:asciiTheme="minorHAnsi" w:eastAsiaTheme="minorEastAsia" w:hAnsiTheme="minorHAnsi" w:cstheme="minorBidi"/>
                <w:noProof/>
                <w:sz w:val="22"/>
                <w:szCs w:val="22"/>
                <w:lang w:eastAsia="en-NZ"/>
              </w:rPr>
            </w:pPr>
            <w:hyperlink w:anchor="_Toc384287874" w:history="1">
              <w:r w:rsidR="00860FB5" w:rsidRPr="0050264E">
                <w:rPr>
                  <w:rStyle w:val="Hyperlink"/>
                  <w:noProof/>
                </w:rPr>
                <w:t>Number of domestic students by detailed qualification level</w:t>
              </w:r>
              <w:r w:rsidR="00860FB5">
                <w:rPr>
                  <w:noProof/>
                  <w:webHidden/>
                </w:rPr>
                <w:tab/>
              </w:r>
              <w:r>
                <w:rPr>
                  <w:noProof/>
                  <w:webHidden/>
                </w:rPr>
                <w:fldChar w:fldCharType="begin"/>
              </w:r>
              <w:r w:rsidR="00860FB5">
                <w:rPr>
                  <w:noProof/>
                  <w:webHidden/>
                </w:rPr>
                <w:instrText xml:space="preserve"> PAGEREF _Toc384287874 \h </w:instrText>
              </w:r>
              <w:r>
                <w:rPr>
                  <w:noProof/>
                  <w:webHidden/>
                </w:rPr>
              </w:r>
              <w:r>
                <w:rPr>
                  <w:noProof/>
                  <w:webHidden/>
                </w:rPr>
                <w:fldChar w:fldCharType="separate"/>
              </w:r>
              <w:r w:rsidR="00375A85">
                <w:rPr>
                  <w:noProof/>
                  <w:webHidden/>
                </w:rPr>
                <w:t>6</w:t>
              </w:r>
              <w:r>
                <w:rPr>
                  <w:noProof/>
                  <w:webHidden/>
                </w:rPr>
                <w:fldChar w:fldCharType="end"/>
              </w:r>
            </w:hyperlink>
          </w:p>
          <w:p w:rsidR="00860FB5" w:rsidRDefault="005B67D2">
            <w:pPr>
              <w:pStyle w:val="TableofFigures"/>
              <w:rPr>
                <w:rFonts w:asciiTheme="minorHAnsi" w:eastAsiaTheme="minorEastAsia" w:hAnsiTheme="minorHAnsi" w:cstheme="minorBidi"/>
                <w:noProof/>
                <w:sz w:val="22"/>
                <w:szCs w:val="22"/>
                <w:lang w:eastAsia="en-NZ"/>
              </w:rPr>
            </w:pPr>
            <w:hyperlink w:anchor="_Toc384287875" w:history="1">
              <w:r w:rsidR="00860FB5" w:rsidRPr="0050264E">
                <w:rPr>
                  <w:rStyle w:val="Hyperlink"/>
                  <w:noProof/>
                </w:rPr>
                <w:t>Percentage of all students and domestic students in formal study by ethnic group</w:t>
              </w:r>
              <w:r w:rsidR="00860FB5">
                <w:rPr>
                  <w:noProof/>
                  <w:webHidden/>
                </w:rPr>
                <w:tab/>
                <w:t>20</w:t>
              </w:r>
            </w:hyperlink>
          </w:p>
          <w:p w:rsidR="00860FB5" w:rsidRDefault="005B67D2">
            <w:pPr>
              <w:pStyle w:val="TableofFigures"/>
              <w:rPr>
                <w:rFonts w:asciiTheme="minorHAnsi" w:eastAsiaTheme="minorEastAsia" w:hAnsiTheme="minorHAnsi" w:cstheme="minorBidi"/>
                <w:noProof/>
                <w:sz w:val="22"/>
                <w:szCs w:val="22"/>
                <w:lang w:eastAsia="en-NZ"/>
              </w:rPr>
            </w:pPr>
            <w:hyperlink w:anchor="_Toc384287877" w:history="1">
              <w:r w:rsidR="00860FB5" w:rsidRPr="0050264E">
                <w:rPr>
                  <w:rStyle w:val="Hyperlink"/>
                  <w:noProof/>
                </w:rPr>
                <w:t>Participation rates in provider-based formal tertiary education by ethnic group</w:t>
              </w:r>
              <w:r w:rsidR="00860FB5">
                <w:rPr>
                  <w:noProof/>
                  <w:webHidden/>
                </w:rPr>
                <w:tab/>
              </w:r>
              <w:r w:rsidR="000E53FF">
                <w:rPr>
                  <w:noProof/>
                  <w:webHidden/>
                </w:rPr>
                <w:t>23</w:t>
              </w:r>
            </w:hyperlink>
          </w:p>
          <w:p w:rsidR="00860FB5" w:rsidRDefault="005B67D2" w:rsidP="00860FB5">
            <w:pPr>
              <w:pStyle w:val="TableofFigures"/>
              <w:rPr>
                <w:rFonts w:asciiTheme="minorHAnsi" w:eastAsiaTheme="minorEastAsia" w:hAnsiTheme="minorHAnsi" w:cstheme="minorBidi"/>
                <w:noProof/>
                <w:sz w:val="22"/>
                <w:szCs w:val="22"/>
                <w:lang w:eastAsia="en-NZ"/>
              </w:rPr>
            </w:pPr>
            <w:r>
              <w:fldChar w:fldCharType="end"/>
            </w:r>
            <w:r w:rsidR="00860FB5">
              <w:rPr>
                <w:rFonts w:eastAsiaTheme="minorEastAsia"/>
                <w:noProof/>
              </w:rPr>
              <w:t>New Zealand's total tertiary education student</w:t>
            </w:r>
            <w:r w:rsidR="004E6283">
              <w:rPr>
                <w:rFonts w:eastAsiaTheme="minorEastAsia"/>
                <w:noProof/>
              </w:rPr>
              <w:t>s by selected characteristics</w:t>
            </w:r>
            <w:r w:rsidR="004E6283">
              <w:rPr>
                <w:rFonts w:eastAsiaTheme="minorEastAsia"/>
                <w:noProof/>
              </w:rPr>
              <w:tab/>
              <w:t>25</w:t>
            </w:r>
          </w:p>
          <w:p w:rsidR="00860FB5" w:rsidRDefault="00860FB5" w:rsidP="00860FB5">
            <w:pPr>
              <w:pStyle w:val="TableofFigures"/>
              <w:rPr>
                <w:rFonts w:asciiTheme="minorHAnsi" w:eastAsiaTheme="minorEastAsia" w:hAnsiTheme="minorHAnsi" w:cstheme="minorBidi"/>
                <w:noProof/>
                <w:sz w:val="22"/>
                <w:szCs w:val="22"/>
                <w:lang w:eastAsia="en-NZ"/>
              </w:rPr>
            </w:pPr>
            <w:r>
              <w:rPr>
                <w:noProof/>
              </w:rPr>
              <w:t xml:space="preserve">New Zealand's domestic tertiary </w:t>
            </w:r>
            <w:r>
              <w:rPr>
                <w:rFonts w:eastAsiaTheme="minorEastAsia"/>
                <w:noProof/>
              </w:rPr>
              <w:t>education students by selected characteristics</w:t>
            </w:r>
            <w:r>
              <w:rPr>
                <w:rFonts w:eastAsiaTheme="minorEastAsia"/>
                <w:noProof/>
              </w:rPr>
              <w:tab/>
              <w:t>2</w:t>
            </w:r>
            <w:r w:rsidR="004E6283">
              <w:rPr>
                <w:rFonts w:eastAsiaTheme="minorEastAsia"/>
                <w:noProof/>
              </w:rPr>
              <w:t>6</w:t>
            </w:r>
          </w:p>
          <w:p w:rsidR="000645F9" w:rsidRPr="000645F9" w:rsidRDefault="00860FB5" w:rsidP="00860FB5">
            <w:pPr>
              <w:pStyle w:val="TableofFigures"/>
            </w:pPr>
            <w:r>
              <w:rPr>
                <w:noProof/>
              </w:rPr>
              <w:t xml:space="preserve">New Zealand's international tertiary </w:t>
            </w:r>
            <w:r>
              <w:rPr>
                <w:rFonts w:eastAsiaTheme="minorEastAsia"/>
                <w:noProof/>
              </w:rPr>
              <w:t>education students by selected characteristics</w:t>
            </w:r>
            <w:r>
              <w:rPr>
                <w:rFonts w:eastAsiaTheme="minorEastAsia"/>
                <w:noProof/>
              </w:rPr>
              <w:tab/>
              <w:t>2</w:t>
            </w:r>
            <w:r w:rsidR="004E6283">
              <w:rPr>
                <w:rFonts w:eastAsiaTheme="minorEastAsia"/>
                <w:noProof/>
              </w:rPr>
              <w:t>7</w:t>
            </w:r>
          </w:p>
        </w:tc>
      </w:tr>
    </w:tbl>
    <w:p w:rsidR="00ED68DB" w:rsidRPr="000045D2" w:rsidRDefault="00ED68DB" w:rsidP="00F0613C">
      <w:pPr>
        <w:pStyle w:val="BodyText"/>
        <w:sectPr w:rsidR="00ED68DB" w:rsidRPr="000045D2" w:rsidSect="00D718E4">
          <w:footerReference w:type="default" r:id="rId11"/>
          <w:pgSz w:w="11906" w:h="16838" w:code="9"/>
          <w:pgMar w:top="1418" w:right="1701" w:bottom="1418" w:left="1701" w:header="709" w:footer="709" w:gutter="0"/>
          <w:pgNumType w:start="1"/>
          <w:cols w:space="708"/>
          <w:docGrid w:linePitch="360"/>
        </w:sectPr>
      </w:pPr>
    </w:p>
    <w:p w:rsidR="00ED68DB" w:rsidRDefault="00EC0400" w:rsidP="00EA4C7B">
      <w:pPr>
        <w:pStyle w:val="Heading1"/>
        <w:spacing w:after="480"/>
      </w:pPr>
      <w:bookmarkStart w:id="7" w:name="_Toc383697355"/>
      <w:r>
        <w:lastRenderedPageBreak/>
        <w:t>S</w:t>
      </w:r>
      <w:r w:rsidR="00EA4C7B">
        <w:t>ummary</w:t>
      </w:r>
      <w:bookmarkEnd w:id="7"/>
    </w:p>
    <w:p w:rsidR="00EA4C7B" w:rsidRDefault="005B67D2" w:rsidP="00EA4C7B">
      <w:pPr>
        <w:pStyle w:val="Bullet1"/>
        <w:ind w:left="0" w:firstLine="0"/>
      </w:pPr>
      <w:r>
        <w:pict>
          <v:shapetype id="_x0000_t202" coordsize="21600,21600" o:spt="202" path="m,l,21600r21600,l21600,xe">
            <v:stroke joinstyle="miter"/>
            <v:path gradientshapeok="t" o:connecttype="rect"/>
          </v:shapetype>
          <v:shape id="_x0000_s1026" type="#_x0000_t202" style="width:424.5pt;height:274.5pt;mso-left-percent:-10001;mso-top-percent:-10001;mso-position-horizontal:absolute;mso-position-horizontal-relative:char;mso-position-vertical:absolute;mso-position-vertical-relative:line;mso-left-percent:-10001;mso-top-percent:-10001" fillcolor="#dbe5f1">
            <v:textbox style="mso-next-textbox:#_x0000_s1026">
              <w:txbxContent>
                <w:p w:rsidR="000432A9" w:rsidRDefault="000432A9" w:rsidP="004D0246">
                  <w:pPr>
                    <w:spacing w:before="240" w:after="120"/>
                    <w:rPr>
                      <w:rFonts w:ascii="Arial" w:hAnsi="Arial" w:cs="Arial"/>
                      <w:smallCaps/>
                    </w:rPr>
                  </w:pPr>
                  <w:r>
                    <w:rPr>
                      <w:rFonts w:ascii="Arial" w:hAnsi="Arial" w:cs="Arial"/>
                      <w:smallCaps/>
                    </w:rPr>
                    <w:t>ENROLMENTS TREND</w:t>
                  </w:r>
                </w:p>
                <w:p w:rsidR="000432A9" w:rsidRDefault="000432A9" w:rsidP="007E0F47">
                  <w:pPr>
                    <w:spacing w:before="240" w:after="180" w:line="260" w:lineRule="exact"/>
                    <w:jc w:val="both"/>
                  </w:pPr>
                  <w:r>
                    <w:t>The number of formal tertiary education enrolments fell from 2012 to 2013. The fall was due to a decline in enrolments by domestic students, while enrolments by international students continued to increase.</w:t>
                  </w:r>
                </w:p>
                <w:p w:rsidR="000432A9" w:rsidRDefault="000432A9" w:rsidP="007E0F47">
                  <w:pPr>
                    <w:spacing w:before="240" w:after="180" w:line="260" w:lineRule="exact"/>
                    <w:jc w:val="both"/>
                  </w:pPr>
                  <w:r>
                    <w:t xml:space="preserve">The </w:t>
                  </w:r>
                  <w:r w:rsidRPr="00CF13A5">
                    <w:t>shift</w:t>
                  </w:r>
                  <w:r>
                    <w:t xml:space="preserve"> </w:t>
                  </w:r>
                  <w:r w:rsidRPr="00CF13A5">
                    <w:t xml:space="preserve">from lower- to higher-level </w:t>
                  </w:r>
                  <w:r>
                    <w:t>study decreased slightly in 2013 (Figure 1.1). When this shift began in 2005, less than half the enrolments by domestic students were in degree and higher qualifications, compared to 56 percent in 2013.</w:t>
                  </w:r>
                </w:p>
                <w:p w:rsidR="000432A9" w:rsidRPr="00CF13A5" w:rsidRDefault="000432A9" w:rsidP="007E0F47">
                  <w:pPr>
                    <w:spacing w:before="240" w:after="180" w:line="260" w:lineRule="exact"/>
                    <w:jc w:val="both"/>
                  </w:pPr>
                  <w:r>
                    <w:t xml:space="preserve">Enrolments by </w:t>
                  </w:r>
                  <w:r w:rsidRPr="00CF13A5">
                    <w:t xml:space="preserve">students </w:t>
                  </w:r>
                  <w:r>
                    <w:t xml:space="preserve">aged 18 to 24 years in non-degree qualifications continued to fall in 2013 and while enrolments in degree and higher qualifications by this group increased from 2012 to 2013, the increase was small. Enrolments by students </w:t>
                  </w:r>
                  <w:r w:rsidRPr="00CF13A5">
                    <w:t>aged 25 years and over</w:t>
                  </w:r>
                  <w:r>
                    <w:t xml:space="preserve"> fell at every qualification level from 2012 to 2013, with continued strong decreases in the number of enrolments in non-degree qualifications</w:t>
                  </w:r>
                  <w:r w:rsidRPr="00CF13A5">
                    <w:t>.</w:t>
                  </w:r>
                </w:p>
                <w:p w:rsidR="000432A9" w:rsidRDefault="000432A9" w:rsidP="007E0F47">
                  <w:pPr>
                    <w:spacing w:before="240" w:after="180" w:line="260" w:lineRule="exact"/>
                    <w:jc w:val="both"/>
                  </w:pPr>
                  <w:r>
                    <w:t>Formal enrolments at public tertiary education institutions declined from 2012 to 2013, while they increased at private training establishments. The increase at private training establishments* was mainly due to an increase in the number of enrolments in level 1 to 3 certificates.</w:t>
                  </w:r>
                </w:p>
              </w:txbxContent>
            </v:textbox>
            <w10:wrap type="none"/>
            <w10:anchorlock/>
          </v:shape>
        </w:pict>
      </w:r>
    </w:p>
    <w:p w:rsidR="003D2B74" w:rsidRDefault="00275A07" w:rsidP="003D2B74">
      <w:pPr>
        <w:pStyle w:val="Note"/>
      </w:pPr>
      <w:r>
        <w:t>*</w:t>
      </w:r>
      <w:r w:rsidR="003D2B74">
        <w:t>When Youth Training was discontinued in 2012, private training establishments could apply to deliver Youth Guarantee fees-free places and this led to more of them supplying information to the Ministry of Education on their total enrolments in 2013.  A number of private training establishments also began delivery of level 1 and 2 qualifications in 2013 as a result of the recently introduced competitive funding process for these qualifications.</w:t>
      </w:r>
    </w:p>
    <w:p w:rsidR="00531D62" w:rsidRDefault="00531D62" w:rsidP="0052121D">
      <w:pPr>
        <w:pStyle w:val="Caption"/>
        <w:spacing w:before="240"/>
      </w:pPr>
      <w:proofErr w:type="gramStart"/>
      <w:r>
        <w:t xml:space="preserve">Figure </w:t>
      </w:r>
      <w:r w:rsidR="005B67D2">
        <w:fldChar w:fldCharType="begin"/>
      </w:r>
      <w:r w:rsidR="00B5211F">
        <w:instrText xml:space="preserve"> STYLEREF 1 \s </w:instrText>
      </w:r>
      <w:r w:rsidR="005B67D2">
        <w:fldChar w:fldCharType="separate"/>
      </w:r>
      <w:r w:rsidR="00375A85">
        <w:rPr>
          <w:noProof/>
        </w:rPr>
        <w:t>1</w:t>
      </w:r>
      <w:r w:rsidR="005B67D2">
        <w:fldChar w:fldCharType="end"/>
      </w:r>
      <w:r>
        <w:t>.</w:t>
      </w:r>
      <w:proofErr w:type="gramEnd"/>
      <w:r w:rsidR="005B67D2">
        <w:fldChar w:fldCharType="begin"/>
      </w:r>
      <w:r>
        <w:instrText xml:space="preserve"> SEQ Figure \* ARABIC \s 1 </w:instrText>
      </w:r>
      <w:r w:rsidR="005B67D2">
        <w:fldChar w:fldCharType="separate"/>
      </w:r>
      <w:r w:rsidR="00375A85">
        <w:rPr>
          <w:noProof/>
        </w:rPr>
        <w:t>1</w:t>
      </w:r>
      <w:r w:rsidR="005B67D2">
        <w:fldChar w:fldCharType="end"/>
      </w:r>
    </w:p>
    <w:p w:rsidR="00531D62" w:rsidRDefault="00531D62" w:rsidP="00531D62">
      <w:pPr>
        <w:pStyle w:val="Figurelabel"/>
      </w:pPr>
      <w:bookmarkStart w:id="8" w:name="_Toc384292884"/>
      <w:r>
        <w:t>Distribution of domestic study by qualification level</w:t>
      </w:r>
      <w:bookmarkEnd w:id="8"/>
    </w:p>
    <w:p w:rsidR="00275A07" w:rsidRPr="00275A07" w:rsidRDefault="00275A07" w:rsidP="00275A07">
      <w:pPr>
        <w:pStyle w:val="BodyText"/>
      </w:pPr>
      <w:r w:rsidRPr="00275A07">
        <w:rPr>
          <w:noProof/>
          <w:lang w:eastAsia="en-NZ"/>
        </w:rPr>
        <w:drawing>
          <wp:inline distT="0" distB="0" distL="0" distR="0">
            <wp:extent cx="5400040" cy="3289785"/>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00040" cy="3289785"/>
                    </a:xfrm>
                    <a:prstGeom prst="rect">
                      <a:avLst/>
                    </a:prstGeom>
                    <a:noFill/>
                    <a:ln w="9525">
                      <a:noFill/>
                      <a:miter lim="800000"/>
                      <a:headEnd/>
                      <a:tailEnd/>
                    </a:ln>
                  </pic:spPr>
                </pic:pic>
              </a:graphicData>
            </a:graphic>
          </wp:inline>
        </w:drawing>
      </w:r>
    </w:p>
    <w:p w:rsidR="00531D62" w:rsidRDefault="00275A07" w:rsidP="00275A07">
      <w:pPr>
        <w:pStyle w:val="Note"/>
      </w:pPr>
      <w:r>
        <w:t>‘Bachelors’ includes graduate certificates and diplomas.</w:t>
      </w:r>
    </w:p>
    <w:p w:rsidR="00CB0813" w:rsidRDefault="00CB0813" w:rsidP="005717DD">
      <w:pPr>
        <w:pStyle w:val="BodyText"/>
      </w:pPr>
      <w:r>
        <w:lastRenderedPageBreak/>
        <w:t xml:space="preserve">In </w:t>
      </w:r>
      <w:r w:rsidR="00D605CB">
        <w:t>2013</w:t>
      </w:r>
      <w:r>
        <w:t xml:space="preserve">, there were </w:t>
      </w:r>
      <w:r w:rsidRPr="00E361EB">
        <w:t>4</w:t>
      </w:r>
      <w:r w:rsidR="003D2B74">
        <w:t>18</w:t>
      </w:r>
      <w:r w:rsidRPr="00E361EB">
        <w:t xml:space="preserve">,000 </w:t>
      </w:r>
      <w:r>
        <w:t>students (including international studen</w:t>
      </w:r>
      <w:r w:rsidR="00CD720E">
        <w:t xml:space="preserve">ts) enrolled in formal </w:t>
      </w:r>
      <w:r>
        <w:t>study</w:t>
      </w:r>
      <w:r w:rsidRPr="00E361EB">
        <w:rPr>
          <w:rStyle w:val="FootnoteReference"/>
          <w:rFonts w:ascii="Arial Narrow" w:hAnsi="Arial Narrow" w:cs="Arial"/>
          <w:szCs w:val="22"/>
        </w:rPr>
        <w:footnoteReference w:id="1"/>
      </w:r>
      <w:r>
        <w:t xml:space="preserve"> with tertiary education providers</w:t>
      </w:r>
      <w:r w:rsidR="00B01BCB">
        <w:t>.</w:t>
      </w:r>
    </w:p>
    <w:p w:rsidR="00CB4212" w:rsidRDefault="004D0246" w:rsidP="005717DD">
      <w:pPr>
        <w:pStyle w:val="BodyText"/>
      </w:pPr>
      <w:r>
        <w:t>The number of formal students (including international students) decreased</w:t>
      </w:r>
      <w:r w:rsidRPr="00E21E0B">
        <w:t xml:space="preserve"> </w:t>
      </w:r>
      <w:r w:rsidR="003D2B74">
        <w:t>by 0.8</w:t>
      </w:r>
      <w:r>
        <w:t xml:space="preserve"> percent from </w:t>
      </w:r>
      <w:r w:rsidR="00D605CB">
        <w:t>2012</w:t>
      </w:r>
      <w:r>
        <w:t xml:space="preserve"> to </w:t>
      </w:r>
      <w:r w:rsidR="00D605CB">
        <w:t>2013</w:t>
      </w:r>
      <w:r>
        <w:t>.</w:t>
      </w:r>
      <w:r w:rsidR="00F375E4">
        <w:t xml:space="preserve"> </w:t>
      </w:r>
      <w:r>
        <w:t xml:space="preserve">The </w:t>
      </w:r>
      <w:r w:rsidR="00DE1B0E">
        <w:t xml:space="preserve">latest </w:t>
      </w:r>
      <w:r>
        <w:t xml:space="preserve">decrease was due </w:t>
      </w:r>
      <w:r w:rsidR="00D87656">
        <w:t xml:space="preserve">to fewer </w:t>
      </w:r>
      <w:r w:rsidR="00594F60">
        <w:t>domestic students (</w:t>
      </w:r>
      <w:r w:rsidR="00D87656">
        <w:t xml:space="preserve">down </w:t>
      </w:r>
      <w:r w:rsidR="00CD3A1E">
        <w:t>0.9</w:t>
      </w:r>
      <w:r w:rsidRPr="00D975FB">
        <w:t xml:space="preserve"> percent</w:t>
      </w:r>
      <w:r w:rsidR="00594F60">
        <w:t>),</w:t>
      </w:r>
      <w:r w:rsidR="00275A07">
        <w:t xml:space="preserve"> partially offset by </w:t>
      </w:r>
      <w:r w:rsidR="00AD2E21">
        <w:t xml:space="preserve">an </w:t>
      </w:r>
      <w:r w:rsidR="00275A07">
        <w:t xml:space="preserve">increase in </w:t>
      </w:r>
      <w:r w:rsidR="00DE1B0E">
        <w:t xml:space="preserve">the number of </w:t>
      </w:r>
      <w:r w:rsidR="007E473C">
        <w:t>international students</w:t>
      </w:r>
      <w:r w:rsidR="00DE1B0E">
        <w:t xml:space="preserve"> </w:t>
      </w:r>
      <w:r w:rsidR="00594F60">
        <w:t xml:space="preserve">(up </w:t>
      </w:r>
      <w:r w:rsidR="00DE1B0E">
        <w:t>0.6 percent</w:t>
      </w:r>
      <w:r w:rsidR="00594F60">
        <w:t>)</w:t>
      </w:r>
      <w:r w:rsidR="007E473C">
        <w:t>.</w:t>
      </w:r>
    </w:p>
    <w:p w:rsidR="004D0246" w:rsidRDefault="00CB4212" w:rsidP="005717DD">
      <w:pPr>
        <w:pStyle w:val="BodyText"/>
      </w:pPr>
      <w:r>
        <w:t xml:space="preserve">The latest decrease in </w:t>
      </w:r>
      <w:r w:rsidR="00DE1B0E">
        <w:t>enrolments</w:t>
      </w:r>
      <w:r>
        <w:t xml:space="preserve"> was smaller i</w:t>
      </w:r>
      <w:r w:rsidR="00B01BCB">
        <w:t>n</w:t>
      </w:r>
      <w:r w:rsidR="00B01BCB" w:rsidRPr="0002286F">
        <w:t xml:space="preserve"> terms of equivalen</w:t>
      </w:r>
      <w:r w:rsidR="00B01BCB">
        <w:t>t full-time student units (down by 0.2 percent) to 278</w:t>
      </w:r>
      <w:r w:rsidR="00B01BCB" w:rsidRPr="0002286F">
        <w:t>,000</w:t>
      </w:r>
      <w:r w:rsidR="00B01BCB">
        <w:t xml:space="preserve"> (Figure 1.2).</w:t>
      </w:r>
      <w:r>
        <w:t xml:space="preserve"> </w:t>
      </w:r>
      <w:r w:rsidR="00D03BAC">
        <w:t xml:space="preserve">While the total domestic study load fell less strongly than the number of students, </w:t>
      </w:r>
      <w:r w:rsidR="00027079">
        <w:t>the average study load</w:t>
      </w:r>
      <w:r w:rsidR="00DE1B0E">
        <w:t xml:space="preserve"> per domestic student did not alter </w:t>
      </w:r>
      <w:r w:rsidR="00D03BAC">
        <w:t>greatly</w:t>
      </w:r>
      <w:r w:rsidR="00DE1B0E">
        <w:t xml:space="preserve"> from 2012 to 2013</w:t>
      </w:r>
      <w:r w:rsidR="00484727">
        <w:t>.</w:t>
      </w:r>
    </w:p>
    <w:p w:rsidR="004D0246" w:rsidRDefault="004D0246" w:rsidP="00064B92">
      <w:pPr>
        <w:pStyle w:val="BodyText"/>
        <w:spacing w:after="180"/>
      </w:pPr>
      <w:r>
        <w:t xml:space="preserve">In </w:t>
      </w:r>
      <w:r w:rsidR="00D605CB">
        <w:t>2013</w:t>
      </w:r>
      <w:r>
        <w:t>, the number of domestic students was 37</w:t>
      </w:r>
      <w:r w:rsidR="004C0F58">
        <w:t>0</w:t>
      </w:r>
      <w:r>
        <w:t>,000 and the number of</w:t>
      </w:r>
      <w:r w:rsidR="004C0F58">
        <w:t xml:space="preserve"> international students was 48,0</w:t>
      </w:r>
      <w:r>
        <w:t>00.</w:t>
      </w:r>
      <w:r w:rsidR="008E0202">
        <w:t xml:space="preserve"> </w:t>
      </w:r>
      <w:r w:rsidR="003A2532">
        <w:t>These</w:t>
      </w:r>
      <w:r w:rsidR="00CD3A1E">
        <w:t xml:space="preserve"> enrolments </w:t>
      </w:r>
      <w:r w:rsidR="00DF3429">
        <w:t>convert</w:t>
      </w:r>
      <w:r w:rsidR="00027079">
        <w:t>ed</w:t>
      </w:r>
      <w:r w:rsidR="00CD3A1E">
        <w:t xml:space="preserve"> to </w:t>
      </w:r>
      <w:r w:rsidR="00DF3429">
        <w:t xml:space="preserve">245,000 domestic </w:t>
      </w:r>
      <w:r w:rsidR="00CD3A1E">
        <w:t xml:space="preserve">equivalent full-time student units </w:t>
      </w:r>
      <w:r w:rsidR="00DF3429">
        <w:t>and</w:t>
      </w:r>
      <w:r w:rsidR="00CD3A1E">
        <w:t xml:space="preserve"> 33,100</w:t>
      </w:r>
      <w:r w:rsidR="00DF3429">
        <w:t xml:space="preserve"> international equivalent full-time student units</w:t>
      </w:r>
      <w:r w:rsidR="00CD3A1E">
        <w:t>.</w:t>
      </w:r>
    </w:p>
    <w:p w:rsidR="00CB0813" w:rsidRDefault="00CB0813" w:rsidP="00F375E4">
      <w:pPr>
        <w:pStyle w:val="Caption"/>
      </w:pPr>
      <w:proofErr w:type="gramStart"/>
      <w:r>
        <w:t xml:space="preserve">Figure </w:t>
      </w:r>
      <w:r w:rsidR="005B67D2">
        <w:fldChar w:fldCharType="begin"/>
      </w:r>
      <w:r w:rsidR="00B5211F">
        <w:instrText xml:space="preserve"> STYLEREF 1 \s </w:instrText>
      </w:r>
      <w:r w:rsidR="005B67D2">
        <w:fldChar w:fldCharType="separate"/>
      </w:r>
      <w:r w:rsidR="00375A85">
        <w:rPr>
          <w:noProof/>
        </w:rPr>
        <w:t>1</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2</w:t>
      </w:r>
      <w:r w:rsidR="005B67D2">
        <w:fldChar w:fldCharType="end"/>
      </w:r>
    </w:p>
    <w:p w:rsidR="00CB0813" w:rsidRDefault="00DB54FD" w:rsidP="00064B92">
      <w:pPr>
        <w:pStyle w:val="Figurelabel"/>
        <w:spacing w:after="0"/>
        <w:rPr>
          <w:sz w:val="16"/>
          <w:szCs w:val="16"/>
        </w:rPr>
      </w:pPr>
      <w:bookmarkStart w:id="9" w:name="_Toc384292885"/>
      <w:r>
        <w:rPr>
          <w:sz w:val="16"/>
          <w:szCs w:val="16"/>
        </w:rPr>
        <w:t>A</w:t>
      </w:r>
      <w:r w:rsidR="00BD2BC4">
        <w:rPr>
          <w:sz w:val="16"/>
          <w:szCs w:val="16"/>
        </w:rPr>
        <w:t xml:space="preserve">nnual change in </w:t>
      </w:r>
      <w:r>
        <w:rPr>
          <w:sz w:val="16"/>
          <w:szCs w:val="16"/>
        </w:rPr>
        <w:t xml:space="preserve">formal </w:t>
      </w:r>
      <w:r w:rsidR="00CB0813">
        <w:rPr>
          <w:sz w:val="16"/>
          <w:szCs w:val="16"/>
        </w:rPr>
        <w:t>tertiary education enrolments</w:t>
      </w:r>
      <w:bookmarkEnd w:id="9"/>
    </w:p>
    <w:p w:rsidR="00C81D6E" w:rsidRDefault="00064B92" w:rsidP="00B01BCB">
      <w:pPr>
        <w:pStyle w:val="BodyText"/>
        <w:spacing w:after="120"/>
      </w:pPr>
      <w:bookmarkStart w:id="10" w:name="_Ref321838046"/>
      <w:r w:rsidRPr="00064B92">
        <w:rPr>
          <w:noProof/>
          <w:lang w:eastAsia="en-NZ"/>
        </w:rPr>
        <w:drawing>
          <wp:anchor distT="0" distB="0" distL="114300" distR="114300" simplePos="0" relativeHeight="251658240" behindDoc="1" locked="0" layoutInCell="1" allowOverlap="1">
            <wp:simplePos x="0" y="0"/>
            <wp:positionH relativeFrom="column">
              <wp:posOffset>15240</wp:posOffset>
            </wp:positionH>
            <wp:positionV relativeFrom="paragraph">
              <wp:posOffset>150495</wp:posOffset>
            </wp:positionV>
            <wp:extent cx="5400675" cy="3200400"/>
            <wp:effectExtent l="19050" t="0" r="9525" b="0"/>
            <wp:wrapTight wrapText="bothSides">
              <wp:wrapPolygon edited="0">
                <wp:start x="-76" y="0"/>
                <wp:lineTo x="-76" y="21471"/>
                <wp:lineTo x="21638" y="21471"/>
                <wp:lineTo x="21638" y="0"/>
                <wp:lineTo x="-76" y="0"/>
              </wp:wrapPolygon>
            </wp:wrapTight>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400675" cy="3200400"/>
                    </a:xfrm>
                    <a:prstGeom prst="rect">
                      <a:avLst/>
                    </a:prstGeom>
                    <a:noFill/>
                    <a:ln w="9525">
                      <a:noFill/>
                      <a:miter lim="800000"/>
                      <a:headEnd/>
                      <a:tailEnd/>
                    </a:ln>
                  </pic:spPr>
                </pic:pic>
              </a:graphicData>
            </a:graphic>
          </wp:anchor>
        </w:drawing>
      </w:r>
      <w:r w:rsidR="004D0246">
        <w:t xml:space="preserve">The </w:t>
      </w:r>
      <w:r w:rsidR="00E314E2">
        <w:t xml:space="preserve">decrease </w:t>
      </w:r>
      <w:r w:rsidR="004D0246">
        <w:t>in domestic enrolments</w:t>
      </w:r>
      <w:r w:rsidR="00C81D6E">
        <w:t xml:space="preserve"> from 2012 to</w:t>
      </w:r>
      <w:r w:rsidR="00E314E2">
        <w:t xml:space="preserve"> 2013 was</w:t>
      </w:r>
      <w:r w:rsidR="00027079">
        <w:t xml:space="preserve"> mainly</w:t>
      </w:r>
      <w:r w:rsidR="00E314E2">
        <w:t xml:space="preserve"> due</w:t>
      </w:r>
      <w:r w:rsidR="000D5CB0">
        <w:t xml:space="preserve"> to </w:t>
      </w:r>
      <w:r w:rsidR="00A879A4">
        <w:t>fewer enrolments in</w:t>
      </w:r>
      <w:r w:rsidR="000D5CB0">
        <w:t xml:space="preserve"> non-degre</w:t>
      </w:r>
      <w:r w:rsidR="003A2532">
        <w:t xml:space="preserve">e </w:t>
      </w:r>
      <w:r w:rsidR="00A879A4">
        <w:t>qualifications</w:t>
      </w:r>
      <w:r w:rsidR="003A2532">
        <w:t xml:space="preserve"> </w:t>
      </w:r>
      <w:r w:rsidR="00A879A4">
        <w:t>as well as fewer enrolments at</w:t>
      </w:r>
      <w:r w:rsidR="003A2532">
        <w:t xml:space="preserve"> </w:t>
      </w:r>
      <w:proofErr w:type="gramStart"/>
      <w:r w:rsidR="003A2532">
        <w:t>bachelor</w:t>
      </w:r>
      <w:r w:rsidR="00484727">
        <w:t>s</w:t>
      </w:r>
      <w:proofErr w:type="gramEnd"/>
      <w:r w:rsidR="00594F60">
        <w:t xml:space="preserve"> </w:t>
      </w:r>
      <w:r w:rsidR="00C81D6E">
        <w:t>level</w:t>
      </w:r>
      <w:r w:rsidR="000D5CB0">
        <w:t>.</w:t>
      </w:r>
      <w:r w:rsidR="008E0202">
        <w:t xml:space="preserve"> </w:t>
      </w:r>
      <w:r w:rsidR="00A879A4">
        <w:t xml:space="preserve">Level </w:t>
      </w:r>
      <w:r w:rsidR="00C81D6E">
        <w:t xml:space="preserve">4 certificate </w:t>
      </w:r>
      <w:r w:rsidR="008E0202">
        <w:t>and level 5 to 7 diploma enrolments decreased by 5,620 and</w:t>
      </w:r>
      <w:r w:rsidR="00A879A4">
        <w:t xml:space="preserve"> </w:t>
      </w:r>
      <w:r w:rsidR="004474DC">
        <w:t>degree and higher-level</w:t>
      </w:r>
      <w:r w:rsidR="00C81D6E">
        <w:t xml:space="preserve"> enrolments </w:t>
      </w:r>
      <w:r w:rsidR="00635CE6">
        <w:t>decreased</w:t>
      </w:r>
      <w:r w:rsidR="00C81D6E">
        <w:t xml:space="preserve"> by </w:t>
      </w:r>
      <w:r w:rsidR="004474DC">
        <w:t>1,630</w:t>
      </w:r>
      <w:r w:rsidR="008E0202">
        <w:t>. Partially</w:t>
      </w:r>
      <w:r w:rsidR="00A879A4">
        <w:t xml:space="preserve"> offsetting these decreases was an increase in level 1 to 3 certificates of 1,660</w:t>
      </w:r>
      <w:r w:rsidR="00027079">
        <w:t xml:space="preserve"> overall</w:t>
      </w:r>
      <w:r w:rsidR="00F50511">
        <w:t>.</w:t>
      </w:r>
    </w:p>
    <w:p w:rsidR="004D0246" w:rsidRDefault="00C81D6E" w:rsidP="00B01BCB">
      <w:pPr>
        <w:pStyle w:val="Bullet1"/>
        <w:spacing w:after="0"/>
        <w:ind w:left="0" w:firstLine="0"/>
      </w:pPr>
      <w:r>
        <w:t>The continue</w:t>
      </w:r>
      <w:r w:rsidR="00F50511">
        <w:t>d</w:t>
      </w:r>
      <w:r>
        <w:t xml:space="preserve"> decrease in </w:t>
      </w:r>
      <w:r w:rsidR="00F50511">
        <w:t xml:space="preserve">domestic </w:t>
      </w:r>
      <w:r>
        <w:t>non-degree enrolments</w:t>
      </w:r>
      <w:r w:rsidR="004D0246">
        <w:t xml:space="preserve"> follows larger declines in lower-level certificate enrolments since 2005.</w:t>
      </w:r>
      <w:r w:rsidR="008E0202">
        <w:t xml:space="preserve"> </w:t>
      </w:r>
      <w:r w:rsidR="002502C9">
        <w:t xml:space="preserve">While </w:t>
      </w:r>
      <w:r w:rsidR="004D0246">
        <w:t xml:space="preserve">the </w:t>
      </w:r>
      <w:r w:rsidR="00CA63FE">
        <w:t>downward trend</w:t>
      </w:r>
      <w:r w:rsidR="004D0246">
        <w:t xml:space="preserve"> in non-degree </w:t>
      </w:r>
      <w:r w:rsidR="00CA63FE">
        <w:t>enrolments</w:t>
      </w:r>
      <w:r w:rsidR="002502C9">
        <w:t xml:space="preserve"> </w:t>
      </w:r>
      <w:r w:rsidR="007C2266">
        <w:t xml:space="preserve">has </w:t>
      </w:r>
      <w:r w:rsidR="00CA63FE">
        <w:t>continued to be</w:t>
      </w:r>
      <w:r w:rsidR="002502C9">
        <w:t xml:space="preserve"> strongest for</w:t>
      </w:r>
      <w:r w:rsidR="004D0246">
        <w:t xml:space="preserve"> students aged 25 years and over</w:t>
      </w:r>
      <w:r w:rsidR="00F50511">
        <w:t>, from 2012 to 2013</w:t>
      </w:r>
      <w:r w:rsidR="008E0202">
        <w:t>,</w:t>
      </w:r>
      <w:r w:rsidR="00F50511">
        <w:t xml:space="preserve"> </w:t>
      </w:r>
      <w:r w:rsidR="00CA63FE">
        <w:t xml:space="preserve">there were </w:t>
      </w:r>
      <w:r w:rsidR="007C2266">
        <w:t xml:space="preserve">also </w:t>
      </w:r>
      <w:r w:rsidR="00CA63FE">
        <w:t>2,170 fewer non-degree enrolments by students aged 18 to 2</w:t>
      </w:r>
      <w:r w:rsidR="007C2266">
        <w:t>4 years.</w:t>
      </w:r>
    </w:p>
    <w:p w:rsidR="0002634E" w:rsidRDefault="0002634E" w:rsidP="0002634E">
      <w:pPr>
        <w:pStyle w:val="Caption"/>
      </w:pPr>
      <w:proofErr w:type="gramStart"/>
      <w:r>
        <w:lastRenderedPageBreak/>
        <w:t xml:space="preserve">Figure </w:t>
      </w:r>
      <w:r w:rsidR="005B67D2">
        <w:fldChar w:fldCharType="begin"/>
      </w:r>
      <w:r w:rsidR="00B5211F">
        <w:instrText xml:space="preserve"> STYLEREF 1 \s </w:instrText>
      </w:r>
      <w:r w:rsidR="005B67D2">
        <w:fldChar w:fldCharType="separate"/>
      </w:r>
      <w:r w:rsidR="00375A85">
        <w:rPr>
          <w:noProof/>
        </w:rPr>
        <w:t>1</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3</w:t>
      </w:r>
      <w:r w:rsidR="005B67D2">
        <w:fldChar w:fldCharType="end"/>
      </w:r>
      <w:bookmarkEnd w:id="10"/>
    </w:p>
    <w:p w:rsidR="0002634E" w:rsidRPr="00970BDA" w:rsidRDefault="0002634E" w:rsidP="0002634E">
      <w:pPr>
        <w:pStyle w:val="Figurelabel"/>
        <w:spacing w:after="240"/>
      </w:pPr>
      <w:bookmarkStart w:id="11" w:name="_Toc384292886"/>
      <w:r>
        <w:t>Domestic and international tertiary education enrolments</w:t>
      </w:r>
      <w:bookmarkEnd w:id="11"/>
      <w:r>
        <w:t xml:space="preserve"> </w:t>
      </w:r>
    </w:p>
    <w:p w:rsidR="0002634E" w:rsidRDefault="00027079" w:rsidP="0002634E">
      <w:pPr>
        <w:pStyle w:val="BodyText"/>
        <w:rPr>
          <w:noProof/>
          <w:color w:val="000000"/>
          <w:lang w:eastAsia="en-NZ"/>
        </w:rPr>
      </w:pPr>
      <w:r w:rsidRPr="00027079">
        <w:rPr>
          <w:noProof/>
          <w:lang w:eastAsia="en-NZ"/>
        </w:rPr>
        <w:drawing>
          <wp:inline distT="0" distB="0" distL="0" distR="0">
            <wp:extent cx="5400040" cy="328978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srcRect/>
                    <a:stretch>
                      <a:fillRect/>
                    </a:stretch>
                  </pic:blipFill>
                  <pic:spPr bwMode="auto">
                    <a:xfrm>
                      <a:off x="0" y="0"/>
                      <a:ext cx="5400040" cy="3289785"/>
                    </a:xfrm>
                    <a:prstGeom prst="rect">
                      <a:avLst/>
                    </a:prstGeom>
                    <a:noFill/>
                    <a:ln w="9525">
                      <a:noFill/>
                      <a:miter lim="800000"/>
                      <a:headEnd/>
                      <a:tailEnd/>
                    </a:ln>
                  </pic:spPr>
                </pic:pic>
              </a:graphicData>
            </a:graphic>
          </wp:inline>
        </w:drawing>
      </w:r>
    </w:p>
    <w:p w:rsidR="005A314F" w:rsidRDefault="00702FC4" w:rsidP="004474DC">
      <w:pPr>
        <w:pStyle w:val="Bullet1"/>
        <w:spacing w:before="360"/>
        <w:ind w:left="0" w:firstLine="0"/>
      </w:pPr>
      <w:r>
        <w:t>Domesti</w:t>
      </w:r>
      <w:r w:rsidR="00C50A88">
        <w:t>c enrolments by</w:t>
      </w:r>
      <w:r w:rsidR="00C50A88" w:rsidRPr="009E1CAD">
        <w:rPr>
          <w:rStyle w:val="BodyTextChar"/>
        </w:rPr>
        <w:t xml:space="preserve"> </w:t>
      </w:r>
      <w:r w:rsidR="00D560DE">
        <w:rPr>
          <w:rStyle w:val="BodyTextChar"/>
        </w:rPr>
        <w:t xml:space="preserve">younger </w:t>
      </w:r>
      <w:r w:rsidR="00C50A88">
        <w:t xml:space="preserve">students </w:t>
      </w:r>
      <w:r w:rsidR="00D560DE">
        <w:t xml:space="preserve">– those </w:t>
      </w:r>
      <w:r w:rsidR="00C50A88">
        <w:t xml:space="preserve">aged </w:t>
      </w:r>
      <w:r w:rsidR="00511E9F">
        <w:t xml:space="preserve">18 to </w:t>
      </w:r>
      <w:r w:rsidR="00C50A88">
        <w:t>24</w:t>
      </w:r>
      <w:r>
        <w:t xml:space="preserve"> years </w:t>
      </w:r>
      <w:r w:rsidR="00D560DE">
        <w:t xml:space="preserve">– </w:t>
      </w:r>
      <w:r w:rsidR="008E0202">
        <w:t>decreased by 0.4</w:t>
      </w:r>
      <w:r w:rsidR="005E7502">
        <w:t xml:space="preserve"> percent</w:t>
      </w:r>
      <w:r>
        <w:t xml:space="preserve"> </w:t>
      </w:r>
      <w:r w:rsidR="00511E9F">
        <w:t xml:space="preserve">from </w:t>
      </w:r>
      <w:r w:rsidR="00D605CB">
        <w:t>2012</w:t>
      </w:r>
      <w:r w:rsidR="00511E9F">
        <w:t xml:space="preserve"> to </w:t>
      </w:r>
      <w:r w:rsidR="00D605CB">
        <w:t>2013</w:t>
      </w:r>
      <w:r w:rsidR="008E0202">
        <w:t>, following a similar size in</w:t>
      </w:r>
      <w:r w:rsidR="00027079">
        <w:t>crease from 2011</w:t>
      </w:r>
      <w:r w:rsidR="00511E9F">
        <w:t xml:space="preserve"> to </w:t>
      </w:r>
      <w:r w:rsidR="00D605CB">
        <w:t>2012</w:t>
      </w:r>
      <w:r w:rsidR="00027079">
        <w:t>,</w:t>
      </w:r>
      <w:r w:rsidR="00511E9F">
        <w:t xml:space="preserve"> </w:t>
      </w:r>
      <w:r w:rsidR="008E0202">
        <w:t>and a decrease of 2.5 percent from 2010 to 2011. The decrease from 2010 to 2011 was the</w:t>
      </w:r>
      <w:r w:rsidR="00B10D08">
        <w:t xml:space="preserve"> first </w:t>
      </w:r>
      <w:r w:rsidR="00511E9F">
        <w:t>decrease</w:t>
      </w:r>
      <w:r w:rsidR="008E0202">
        <w:t xml:space="preserve"> for this age group</w:t>
      </w:r>
      <w:r w:rsidR="0005390D">
        <w:t xml:space="preserve"> </w:t>
      </w:r>
      <w:r w:rsidR="004A36E3">
        <w:t>since 1997</w:t>
      </w:r>
      <w:r w:rsidR="004474DC">
        <w:t xml:space="preserve"> </w:t>
      </w:r>
      <w:r w:rsidR="00027079">
        <w:t>and it followed</w:t>
      </w:r>
      <w:r w:rsidR="005A314F">
        <w:t xml:space="preserve"> large increases in enrolments in 2009 and 2010</w:t>
      </w:r>
      <w:r w:rsidR="00DC6252">
        <w:t xml:space="preserve"> when the labour market was especially weak</w:t>
      </w:r>
      <w:r w:rsidR="005A314F">
        <w:t xml:space="preserve">.  Also, </w:t>
      </w:r>
      <w:r w:rsidR="004474DC">
        <w:t>enrolments in Christchurch</w:t>
      </w:r>
      <w:r w:rsidR="005A314F">
        <w:t xml:space="preserve"> were lower</w:t>
      </w:r>
      <w:r w:rsidR="004474DC">
        <w:t xml:space="preserve"> </w:t>
      </w:r>
      <w:r w:rsidR="00F375E4">
        <w:t xml:space="preserve">in 2011 </w:t>
      </w:r>
      <w:r w:rsidR="004474DC">
        <w:t xml:space="preserve">following the </w:t>
      </w:r>
      <w:r w:rsidR="00F375E4">
        <w:t xml:space="preserve">February </w:t>
      </w:r>
      <w:r w:rsidR="004474DC">
        <w:t>earthquake</w:t>
      </w:r>
      <w:r w:rsidR="005A314F">
        <w:t>.</w:t>
      </w:r>
    </w:p>
    <w:p w:rsidR="00EE7930" w:rsidRDefault="00E509DB" w:rsidP="00027079">
      <w:pPr>
        <w:pStyle w:val="BodyText"/>
      </w:pPr>
      <w:r>
        <w:t xml:space="preserve">The </w:t>
      </w:r>
      <w:r w:rsidR="004474DC">
        <w:t xml:space="preserve">latest </w:t>
      </w:r>
      <w:r>
        <w:t xml:space="preserve">decrease </w:t>
      </w:r>
      <w:r w:rsidR="006F5679">
        <w:t xml:space="preserve">in enrolments </w:t>
      </w:r>
      <w:r w:rsidR="004474DC">
        <w:t xml:space="preserve">by 18 to 24 year-olds </w:t>
      </w:r>
      <w:r>
        <w:t xml:space="preserve">was </w:t>
      </w:r>
      <w:r w:rsidR="006F5679">
        <w:t xml:space="preserve">due to fewer non-degree enrolments, partially offset by </w:t>
      </w:r>
      <w:r w:rsidR="000E53FF">
        <w:t>an increase</w:t>
      </w:r>
      <w:r w:rsidR="006F5679">
        <w:t xml:space="preserve"> </w:t>
      </w:r>
      <w:r w:rsidR="000E53FF">
        <w:t>in enrolments in degree and higher qualifications.</w:t>
      </w:r>
    </w:p>
    <w:p w:rsidR="00CB0813" w:rsidRDefault="00631310" w:rsidP="009E1CAD">
      <w:pPr>
        <w:pStyle w:val="BodyText"/>
      </w:pPr>
      <w:r>
        <w:t>Tertiary education enrolments by</w:t>
      </w:r>
      <w:r w:rsidR="00CC5CC1">
        <w:t xml:space="preserve"> people aged </w:t>
      </w:r>
      <w:proofErr w:type="gramStart"/>
      <w:r w:rsidR="00CC5CC1">
        <w:t>under</w:t>
      </w:r>
      <w:proofErr w:type="gramEnd"/>
      <w:r>
        <w:t xml:space="preserve"> </w:t>
      </w:r>
      <w:r w:rsidR="00CC5CC1">
        <w:t>18</w:t>
      </w:r>
      <w:r w:rsidR="0005390D">
        <w:t xml:space="preserve"> years</w:t>
      </w:r>
      <w:r w:rsidR="00CC5CC1">
        <w:t xml:space="preserve"> </w:t>
      </w:r>
      <w:r w:rsidR="006F5679">
        <w:t>in</w:t>
      </w:r>
      <w:r w:rsidR="0005390D">
        <w:t>crease</w:t>
      </w:r>
      <w:r w:rsidR="006F5679">
        <w:t>d</w:t>
      </w:r>
      <w:r w:rsidR="0005390D">
        <w:t xml:space="preserve"> in </w:t>
      </w:r>
      <w:r w:rsidR="00D605CB">
        <w:t>2013</w:t>
      </w:r>
      <w:r w:rsidR="0005390D">
        <w:t xml:space="preserve"> </w:t>
      </w:r>
      <w:r w:rsidR="006F5679">
        <w:t>for the first time since 2005.</w:t>
      </w:r>
      <w:r w:rsidR="00AD2E21">
        <w:rPr>
          <w:rStyle w:val="FootnoteReference"/>
        </w:rPr>
        <w:t xml:space="preserve"> </w:t>
      </w:r>
      <w:r w:rsidR="00AD2E21">
        <w:t xml:space="preserve"> </w:t>
      </w:r>
      <w:r w:rsidR="00005C0E">
        <w:t xml:space="preserve">In part, this is likely to be due to increases in the number of </w:t>
      </w:r>
      <w:r w:rsidR="006F5679">
        <w:t xml:space="preserve">Youth Guarantee fees-free places </w:t>
      </w:r>
      <w:r w:rsidR="00005C0E">
        <w:t>and also to more private training establishments supplying</w:t>
      </w:r>
      <w:r w:rsidR="006F5679">
        <w:t xml:space="preserve"> information to the Ministry of Education on t</w:t>
      </w:r>
      <w:r w:rsidR="00005C0E">
        <w:t>heir total enrolments in 2013.</w:t>
      </w:r>
      <w:r w:rsidR="00F375E4">
        <w:rPr>
          <w:rStyle w:val="FootnoteReference"/>
        </w:rPr>
        <w:footnoteReference w:id="2"/>
      </w:r>
      <w:r w:rsidR="00005C0E">
        <w:t xml:space="preserve"> Additionally, a</w:t>
      </w:r>
      <w:r w:rsidR="006F5679">
        <w:t xml:space="preserve"> number of private training establishments also began delivery of level 1 and 2 qualifications in 2013 as a result of the recently introduced competitive funding process for these qualifications</w:t>
      </w:r>
      <w:r w:rsidR="00005C0E">
        <w:t>.</w:t>
      </w:r>
    </w:p>
    <w:p w:rsidR="004D0246" w:rsidRDefault="007E26D3" w:rsidP="009E1CAD">
      <w:pPr>
        <w:pStyle w:val="BodyText"/>
      </w:pPr>
      <w:r>
        <w:t>Figure 1.</w:t>
      </w:r>
      <w:r w:rsidR="00005C0E">
        <w:t>3</w:t>
      </w:r>
      <w:r>
        <w:t xml:space="preserve"> shows </w:t>
      </w:r>
      <w:r w:rsidR="00027079">
        <w:t xml:space="preserve">an </w:t>
      </w:r>
      <w:r w:rsidR="00005C0E">
        <w:t>increase in</w:t>
      </w:r>
      <w:r w:rsidR="00631310">
        <w:t xml:space="preserve"> international student numbers </w:t>
      </w:r>
      <w:r w:rsidR="00005C0E">
        <w:t>from 2012 to</w:t>
      </w:r>
      <w:r w:rsidR="00631310">
        <w:t xml:space="preserve"> </w:t>
      </w:r>
      <w:r w:rsidR="00D605CB">
        <w:t>2013</w:t>
      </w:r>
      <w:r w:rsidR="00B96A5E">
        <w:t>, although since 2011 these numbers have stabilised</w:t>
      </w:r>
      <w:r w:rsidR="00027079">
        <w:t xml:space="preserve">. </w:t>
      </w:r>
      <w:r w:rsidR="00B96A5E">
        <w:t>In terms of equivalent full-time student units, e</w:t>
      </w:r>
      <w:r w:rsidR="00027079">
        <w:t>nrolments by international students have been</w:t>
      </w:r>
      <w:r w:rsidR="003E2523">
        <w:t xml:space="preserve"> increasing</w:t>
      </w:r>
      <w:r w:rsidR="00702FC4">
        <w:t xml:space="preserve"> </w:t>
      </w:r>
      <w:r w:rsidR="00027079">
        <w:t>since</w:t>
      </w:r>
      <w:r>
        <w:t xml:space="preserve"> 2008.</w:t>
      </w:r>
    </w:p>
    <w:p w:rsidR="004474DC" w:rsidRDefault="00B8056E" w:rsidP="004474DC">
      <w:pPr>
        <w:pStyle w:val="BodyText"/>
      </w:pPr>
      <w:r>
        <w:t xml:space="preserve">From </w:t>
      </w:r>
      <w:r w:rsidR="00D605CB">
        <w:t>2012</w:t>
      </w:r>
      <w:r>
        <w:t xml:space="preserve"> to </w:t>
      </w:r>
      <w:r w:rsidR="00D605CB">
        <w:t>2013</w:t>
      </w:r>
      <w:r>
        <w:t>, t</w:t>
      </w:r>
      <w:r w:rsidR="00970BDA">
        <w:t>he number of students in formal study of</w:t>
      </w:r>
      <w:r w:rsidR="004F5CB3">
        <w:t xml:space="preserve"> less than one week’s duration decreased</w:t>
      </w:r>
      <w:r w:rsidR="00970BDA">
        <w:t xml:space="preserve"> by </w:t>
      </w:r>
      <w:r w:rsidR="00005C0E">
        <w:t>12</w:t>
      </w:r>
      <w:r w:rsidR="004F5CB3">
        <w:t xml:space="preserve"> percent to 2</w:t>
      </w:r>
      <w:r w:rsidR="00005C0E">
        <w:t>1,2</w:t>
      </w:r>
      <w:r w:rsidR="00EC6AA9">
        <w:t>00. T</w:t>
      </w:r>
      <w:r w:rsidR="00970BDA">
        <w:t>he provision of n</w:t>
      </w:r>
      <w:r w:rsidR="00970BDA" w:rsidRPr="00E361EB">
        <w:t xml:space="preserve">on-formal </w:t>
      </w:r>
      <w:r w:rsidR="00970BDA">
        <w:t xml:space="preserve">courses in </w:t>
      </w:r>
      <w:r w:rsidR="00970BDA" w:rsidRPr="00E361EB">
        <w:t xml:space="preserve">tertiary </w:t>
      </w:r>
      <w:r w:rsidR="00970BDA">
        <w:t xml:space="preserve">education </w:t>
      </w:r>
      <w:r w:rsidR="00325152">
        <w:t xml:space="preserve">organisations </w:t>
      </w:r>
      <w:r w:rsidR="00005C0E">
        <w:t xml:space="preserve">has </w:t>
      </w:r>
      <w:r w:rsidR="00970BDA">
        <w:t xml:space="preserve">decreased by </w:t>
      </w:r>
      <w:r w:rsidR="000E53FF">
        <w:t>17</w:t>
      </w:r>
      <w:r w:rsidR="00970BDA">
        <w:t xml:space="preserve"> percent</w:t>
      </w:r>
      <w:r w:rsidR="00970BDA" w:rsidRPr="00E361EB">
        <w:t xml:space="preserve"> </w:t>
      </w:r>
      <w:r w:rsidR="00970BDA">
        <w:t xml:space="preserve">to </w:t>
      </w:r>
      <w:r w:rsidR="00005C0E">
        <w:t>43,8</w:t>
      </w:r>
      <w:r w:rsidR="00970BDA">
        <w:t>00 students.</w:t>
      </w:r>
      <w:r w:rsidR="00BA6713">
        <w:t xml:space="preserve"> In terms of equivalent full-time student units, non-formal courses in tertiary education </w:t>
      </w:r>
      <w:r w:rsidR="00325152">
        <w:t>organisations</w:t>
      </w:r>
      <w:r w:rsidR="0073013D">
        <w:t xml:space="preserve"> increased by </w:t>
      </w:r>
      <w:r w:rsidR="00005C0E">
        <w:t>3.5</w:t>
      </w:r>
      <w:r w:rsidR="00907D09">
        <w:t xml:space="preserve"> percent from </w:t>
      </w:r>
      <w:r w:rsidR="00D605CB">
        <w:t>2012</w:t>
      </w:r>
      <w:r w:rsidR="00907D09">
        <w:t xml:space="preserve"> to </w:t>
      </w:r>
      <w:r w:rsidR="00D605CB">
        <w:t>2013</w:t>
      </w:r>
      <w:r w:rsidR="00907D09">
        <w:t>.</w:t>
      </w:r>
    </w:p>
    <w:p w:rsidR="00070C0C" w:rsidRDefault="00B7715A" w:rsidP="00F375E4">
      <w:pPr>
        <w:pStyle w:val="Heading1"/>
        <w:spacing w:before="480"/>
      </w:pPr>
      <w:bookmarkStart w:id="12" w:name="_Toc383697356"/>
      <w:r>
        <w:lastRenderedPageBreak/>
        <w:t xml:space="preserve">Enrolments </w:t>
      </w:r>
      <w:r w:rsidR="007A66D5">
        <w:t>trend</w:t>
      </w:r>
      <w:bookmarkEnd w:id="12"/>
    </w:p>
    <w:p w:rsidR="00D2426E" w:rsidRDefault="00EC6AA9" w:rsidP="009E1CAD">
      <w:pPr>
        <w:pStyle w:val="BodyText"/>
      </w:pPr>
      <w:r>
        <w:t xml:space="preserve">From </w:t>
      </w:r>
      <w:r w:rsidR="00D605CB">
        <w:t>2012</w:t>
      </w:r>
      <w:r>
        <w:t xml:space="preserve"> to </w:t>
      </w:r>
      <w:r w:rsidR="00D605CB">
        <w:t>2013</w:t>
      </w:r>
      <w:r>
        <w:t>, t</w:t>
      </w:r>
      <w:r w:rsidR="00091B7D">
        <w:t xml:space="preserve">he number of students in formal study </w:t>
      </w:r>
      <w:r w:rsidR="001D2CC4">
        <w:t xml:space="preserve">at tertiary education providers </w:t>
      </w:r>
      <w:r w:rsidR="00091B7D">
        <w:t xml:space="preserve">decreased </w:t>
      </w:r>
      <w:r w:rsidR="00907D09">
        <w:t xml:space="preserve">by </w:t>
      </w:r>
      <w:r w:rsidR="007E152C">
        <w:t>0.8 percent to 418</w:t>
      </w:r>
      <w:r w:rsidR="00091B7D">
        <w:t>,000.</w:t>
      </w:r>
      <w:r w:rsidR="00091B7D">
        <w:rPr>
          <w:rStyle w:val="FootnoteReference"/>
        </w:rPr>
        <w:footnoteReference w:id="3"/>
      </w:r>
    </w:p>
    <w:p w:rsidR="00D740BB" w:rsidRDefault="007E152C" w:rsidP="009E1CAD">
      <w:pPr>
        <w:pStyle w:val="BodyText"/>
      </w:pPr>
      <w:r>
        <w:t xml:space="preserve">The downward trend in the </w:t>
      </w:r>
      <w:r w:rsidR="00064B92">
        <w:t xml:space="preserve">total </w:t>
      </w:r>
      <w:r>
        <w:t xml:space="preserve">number of </w:t>
      </w:r>
      <w:r w:rsidR="00064B92">
        <w:t xml:space="preserve">formal </w:t>
      </w:r>
      <w:r>
        <w:t>enrolments, which started in 2005,</w:t>
      </w:r>
      <w:r w:rsidR="00064B92">
        <w:t xml:space="preserve"> continued from 2012 to 2013. The</w:t>
      </w:r>
      <w:r>
        <w:t xml:space="preserve"> increase </w:t>
      </w:r>
      <w:r w:rsidR="00DD0416">
        <w:t>from 2008 to 2009</w:t>
      </w:r>
      <w:r>
        <w:t xml:space="preserve"> </w:t>
      </w:r>
      <w:r w:rsidR="00DC6252">
        <w:t>was</w:t>
      </w:r>
      <w:r w:rsidR="0067622C">
        <w:t xml:space="preserve"> the only exception to this</w:t>
      </w:r>
      <w:r>
        <w:t xml:space="preserve"> decreasing trend. </w:t>
      </w:r>
      <w:r w:rsidR="00064B92">
        <w:t xml:space="preserve">The main driver </w:t>
      </w:r>
      <w:r w:rsidR="000E53FF">
        <w:t xml:space="preserve">of the downward trend in formal enrolments </w:t>
      </w:r>
      <w:r w:rsidR="00064B92">
        <w:t>has been f</w:t>
      </w:r>
      <w:r w:rsidR="00CB2233">
        <w:t>ewer</w:t>
      </w:r>
      <w:r w:rsidR="004F5CB3">
        <w:t xml:space="preserve"> </w:t>
      </w:r>
      <w:r w:rsidR="00142CDC">
        <w:t xml:space="preserve">domestic </w:t>
      </w:r>
      <w:r w:rsidR="00C56586">
        <w:t xml:space="preserve">enrolments in </w:t>
      </w:r>
      <w:r w:rsidR="004F5CB3">
        <w:t>lower-level certificate</w:t>
      </w:r>
      <w:r w:rsidR="00C56586">
        <w:t>s</w:t>
      </w:r>
      <w:r w:rsidR="004F5CB3">
        <w:t xml:space="preserve">, </w:t>
      </w:r>
      <w:r w:rsidR="000E53FF">
        <w:t>and</w:t>
      </w:r>
      <w:r w:rsidR="004F5CB3">
        <w:t xml:space="preserve"> a declining trend in international student enrolments</w:t>
      </w:r>
      <w:r w:rsidR="00CB2233">
        <w:t xml:space="preserve"> from 2005 to 2008</w:t>
      </w:r>
      <w:r w:rsidR="00CD720E">
        <w:t>.</w:t>
      </w:r>
    </w:p>
    <w:p w:rsidR="00AD5648" w:rsidRDefault="00110AC1" w:rsidP="009E1CAD">
      <w:pPr>
        <w:pStyle w:val="BodyText"/>
      </w:pPr>
      <w:r>
        <w:t>From</w:t>
      </w:r>
      <w:r w:rsidR="00DE42B7">
        <w:t xml:space="preserve"> 2005 to 2013</w:t>
      </w:r>
      <w:r w:rsidR="00027079">
        <w:t>,</w:t>
      </w:r>
      <w:r w:rsidR="00AD5648">
        <w:t xml:space="preserve"> </w:t>
      </w:r>
      <w:r w:rsidR="00830822">
        <w:t xml:space="preserve">the number of domestic non-degree </w:t>
      </w:r>
      <w:r w:rsidR="00027079">
        <w:t>enrolment</w:t>
      </w:r>
      <w:r w:rsidR="006920E4">
        <w:t xml:space="preserve">s </w:t>
      </w:r>
      <w:r w:rsidR="00AD5648">
        <w:t>decrea</w:t>
      </w:r>
      <w:r>
        <w:t>sed</w:t>
      </w:r>
      <w:r w:rsidR="00AD5648">
        <w:t>, on average, by</w:t>
      </w:r>
      <w:r w:rsidR="006920E4">
        <w:t xml:space="preserve"> </w:t>
      </w:r>
      <w:r w:rsidR="00D90400">
        <w:t>13,800</w:t>
      </w:r>
      <w:r w:rsidR="00830822">
        <w:t xml:space="preserve"> per year,</w:t>
      </w:r>
      <w:r w:rsidR="00AD5648">
        <w:t xml:space="preserve"> </w:t>
      </w:r>
      <w:r w:rsidR="00830822">
        <w:t xml:space="preserve">while degree and higher </w:t>
      </w:r>
      <w:r w:rsidR="00027079">
        <w:t>enrolment</w:t>
      </w:r>
      <w:r w:rsidR="006920E4">
        <w:t>s i</w:t>
      </w:r>
      <w:r>
        <w:t>ncreased</w:t>
      </w:r>
      <w:r w:rsidR="00AD5648">
        <w:t>, on average, by</w:t>
      </w:r>
      <w:r w:rsidR="0073013D">
        <w:t xml:space="preserve"> </w:t>
      </w:r>
      <w:r w:rsidR="00D90400">
        <w:t>2,590</w:t>
      </w:r>
      <w:r w:rsidR="00830822">
        <w:t xml:space="preserve"> per year</w:t>
      </w:r>
      <w:r w:rsidR="00BD408A">
        <w:t xml:space="preserve"> (see </w:t>
      </w:r>
      <w:r w:rsidR="005B67D2">
        <w:fldChar w:fldCharType="begin"/>
      </w:r>
      <w:r w:rsidR="00BD408A">
        <w:instrText xml:space="preserve"> REF _Ref321910739 \h </w:instrText>
      </w:r>
      <w:r w:rsidR="005B67D2">
        <w:fldChar w:fldCharType="separate"/>
      </w:r>
      <w:r w:rsidR="00375A85">
        <w:t xml:space="preserve">Figure </w:t>
      </w:r>
      <w:r w:rsidR="00375A85">
        <w:rPr>
          <w:noProof/>
        </w:rPr>
        <w:t>2</w:t>
      </w:r>
      <w:r w:rsidR="00375A85">
        <w:t>.</w:t>
      </w:r>
      <w:r w:rsidR="00375A85">
        <w:rPr>
          <w:noProof/>
        </w:rPr>
        <w:t>1</w:t>
      </w:r>
      <w:r w:rsidR="005B67D2">
        <w:fldChar w:fldCharType="end"/>
      </w:r>
      <w:r w:rsidR="00BD408A">
        <w:t>).</w:t>
      </w:r>
    </w:p>
    <w:p w:rsidR="00BC1730" w:rsidRDefault="00110AC1" w:rsidP="009E1CAD">
      <w:pPr>
        <w:pStyle w:val="BodyText"/>
      </w:pPr>
      <w:r>
        <w:t>From 2012 to 2013, the number of d</w:t>
      </w:r>
      <w:r w:rsidR="00BC1730">
        <w:t>omestic students</w:t>
      </w:r>
      <w:r w:rsidR="000E53FF">
        <w:t xml:space="preserve"> decreased by</w:t>
      </w:r>
      <w:r w:rsidR="00DC6252">
        <w:t xml:space="preserve"> 3,530, or</w:t>
      </w:r>
      <w:r w:rsidR="000E53FF">
        <w:t xml:space="preserve"> 0.9 percent</w:t>
      </w:r>
      <w:r w:rsidR="00DC6252">
        <w:t>,</w:t>
      </w:r>
      <w:r w:rsidR="000E53FF">
        <w:t xml:space="preserve"> to 370</w:t>
      </w:r>
      <w:r w:rsidR="00BC1730">
        <w:t>,000.</w:t>
      </w:r>
    </w:p>
    <w:p w:rsidR="00FB0999" w:rsidRDefault="00FB0999" w:rsidP="006767C6">
      <w:pPr>
        <w:pStyle w:val="Caption"/>
      </w:pPr>
      <w:bookmarkStart w:id="13" w:name="_Ref321910739"/>
      <w:proofErr w:type="gramStart"/>
      <w:r>
        <w:t xml:space="preserve">Figure </w:t>
      </w:r>
      <w:r w:rsidR="005B67D2">
        <w:fldChar w:fldCharType="begin"/>
      </w:r>
      <w:r w:rsidR="00B5211F">
        <w:instrText xml:space="preserve"> STYLEREF 1 \s </w:instrText>
      </w:r>
      <w:r w:rsidR="005B67D2">
        <w:fldChar w:fldCharType="separate"/>
      </w:r>
      <w:r w:rsidR="00375A85">
        <w:rPr>
          <w:noProof/>
        </w:rPr>
        <w:t>2</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1</w:t>
      </w:r>
      <w:r w:rsidR="005B67D2">
        <w:fldChar w:fldCharType="end"/>
      </w:r>
      <w:bookmarkEnd w:id="13"/>
    </w:p>
    <w:p w:rsidR="00FB0999" w:rsidRDefault="005975F4" w:rsidP="00FB0999">
      <w:pPr>
        <w:pStyle w:val="Figurelabel"/>
      </w:pPr>
      <w:bookmarkStart w:id="14" w:name="_Toc384292887"/>
      <w:r>
        <w:t>Domestic formal</w:t>
      </w:r>
      <w:r w:rsidR="00C157CE">
        <w:t xml:space="preserve"> </w:t>
      </w:r>
      <w:r w:rsidR="00FB0999">
        <w:t xml:space="preserve">enrolments </w:t>
      </w:r>
      <w:r w:rsidR="00255DC4">
        <w:t>in non-degree and higher-level qualifications</w:t>
      </w:r>
      <w:bookmarkEnd w:id="14"/>
    </w:p>
    <w:p w:rsidR="005E699A" w:rsidRDefault="00DF3429" w:rsidP="005E699A">
      <w:pPr>
        <w:pStyle w:val="BodyText"/>
      </w:pPr>
      <w:r w:rsidRPr="00DF3429">
        <w:rPr>
          <w:noProof/>
          <w:lang w:eastAsia="en-NZ"/>
        </w:rPr>
        <w:drawing>
          <wp:inline distT="0" distB="0" distL="0" distR="0">
            <wp:extent cx="5400040" cy="3289785"/>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5400040" cy="3289785"/>
                    </a:xfrm>
                    <a:prstGeom prst="rect">
                      <a:avLst/>
                    </a:prstGeom>
                    <a:noFill/>
                    <a:ln w="9525">
                      <a:noFill/>
                      <a:miter lim="800000"/>
                      <a:headEnd/>
                      <a:tailEnd/>
                    </a:ln>
                  </pic:spPr>
                </pic:pic>
              </a:graphicData>
            </a:graphic>
          </wp:inline>
        </w:drawing>
      </w:r>
    </w:p>
    <w:p w:rsidR="00BC1730" w:rsidRDefault="00110AC1" w:rsidP="00BC1730">
      <w:pPr>
        <w:pStyle w:val="BodyText"/>
      </w:pPr>
      <w:r>
        <w:t>The number of enrolments by international students increased from 2012 to 2013 by</w:t>
      </w:r>
      <w:r w:rsidR="00DC6252">
        <w:t xml:space="preserve"> 273, or</w:t>
      </w:r>
      <w:r>
        <w:t xml:space="preserve"> 0.6 percent</w:t>
      </w:r>
      <w:r w:rsidR="00DC6252">
        <w:t>,</w:t>
      </w:r>
      <w:r>
        <w:t xml:space="preserve"> to 48,000.  Since 2008</w:t>
      </w:r>
      <w:r w:rsidR="00027079">
        <w:t>,</w:t>
      </w:r>
      <w:r>
        <w:t xml:space="preserve"> international student number</w:t>
      </w:r>
      <w:r w:rsidR="00BF02BF">
        <w:t>s</w:t>
      </w:r>
      <w:r>
        <w:t xml:space="preserve"> </w:t>
      </w:r>
      <w:r w:rsidR="00651CAF">
        <w:t xml:space="preserve">in bachelors and higher qualifications </w:t>
      </w:r>
      <w:r>
        <w:t>have been increasing.  Before this</w:t>
      </w:r>
      <w:r w:rsidR="00BF02BF">
        <w:t>,</w:t>
      </w:r>
      <w:r>
        <w:t xml:space="preserve"> enrolments by international students declined from a high point </w:t>
      </w:r>
      <w:r w:rsidR="00BF02BF">
        <w:t xml:space="preserve">in 2004 </w:t>
      </w:r>
      <w:r>
        <w:t>of 50,400 (</w:t>
      </w:r>
      <w:r w:rsidR="00BC1730">
        <w:t>Figure 2.2).</w:t>
      </w:r>
    </w:p>
    <w:p w:rsidR="00DE42B7" w:rsidRDefault="00DE42B7" w:rsidP="00DE42B7">
      <w:pPr>
        <w:pStyle w:val="Caption"/>
      </w:pPr>
      <w:proofErr w:type="gramStart"/>
      <w:r>
        <w:lastRenderedPageBreak/>
        <w:t xml:space="preserve">Figure </w:t>
      </w:r>
      <w:r w:rsidR="005B67D2">
        <w:fldChar w:fldCharType="begin"/>
      </w:r>
      <w:r w:rsidR="00B5211F">
        <w:instrText xml:space="preserve"> STYLEREF 1 \s </w:instrText>
      </w:r>
      <w:r w:rsidR="005B67D2">
        <w:fldChar w:fldCharType="separate"/>
      </w:r>
      <w:r w:rsidR="00375A85">
        <w:rPr>
          <w:noProof/>
        </w:rPr>
        <w:t>2</w:t>
      </w:r>
      <w:r w:rsidR="005B67D2">
        <w:fldChar w:fldCharType="end"/>
      </w:r>
      <w:r>
        <w:t>.</w:t>
      </w:r>
      <w:proofErr w:type="gramEnd"/>
      <w:r w:rsidR="005B67D2">
        <w:fldChar w:fldCharType="begin"/>
      </w:r>
      <w:r>
        <w:instrText xml:space="preserve"> SEQ Figure \* ARABIC \s 1 </w:instrText>
      </w:r>
      <w:r w:rsidR="005B67D2">
        <w:fldChar w:fldCharType="separate"/>
      </w:r>
      <w:r w:rsidR="00375A85">
        <w:rPr>
          <w:noProof/>
        </w:rPr>
        <w:t>2</w:t>
      </w:r>
      <w:r w:rsidR="005B67D2">
        <w:fldChar w:fldCharType="end"/>
      </w:r>
    </w:p>
    <w:p w:rsidR="00DE42B7" w:rsidRPr="007C076E" w:rsidRDefault="00DE42B7" w:rsidP="00DE42B7">
      <w:pPr>
        <w:pStyle w:val="Figurelabel"/>
      </w:pPr>
      <w:bookmarkStart w:id="15" w:name="_Toc384292888"/>
      <w:r>
        <w:t xml:space="preserve">International </w:t>
      </w:r>
      <w:r w:rsidR="00BC12FA">
        <w:t xml:space="preserve">formal enrolments </w:t>
      </w:r>
      <w:r w:rsidR="00AB2968">
        <w:t xml:space="preserve">in </w:t>
      </w:r>
      <w:r w:rsidR="00BC12FA">
        <w:t>non-degree and higher-level qualifications</w:t>
      </w:r>
      <w:bookmarkEnd w:id="15"/>
    </w:p>
    <w:p w:rsidR="00DE42B7" w:rsidRDefault="00BC12FA" w:rsidP="007708E2">
      <w:pPr>
        <w:pStyle w:val="BodyText"/>
        <w:spacing w:after="0"/>
      </w:pPr>
      <w:r w:rsidRPr="00BC12FA">
        <w:rPr>
          <w:noProof/>
          <w:lang w:eastAsia="en-NZ"/>
        </w:rPr>
        <w:drawing>
          <wp:inline distT="0" distB="0" distL="0" distR="0">
            <wp:extent cx="5400040" cy="3289785"/>
            <wp:effectExtent l="1905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5400040" cy="3289785"/>
                    </a:xfrm>
                    <a:prstGeom prst="rect">
                      <a:avLst/>
                    </a:prstGeom>
                    <a:noFill/>
                    <a:ln w="9525">
                      <a:noFill/>
                      <a:miter lim="800000"/>
                      <a:headEnd/>
                      <a:tailEnd/>
                    </a:ln>
                  </pic:spPr>
                </pic:pic>
              </a:graphicData>
            </a:graphic>
          </wp:inline>
        </w:drawing>
      </w:r>
    </w:p>
    <w:p w:rsidR="00D84866" w:rsidRDefault="00D84866" w:rsidP="000E53FF">
      <w:pPr>
        <w:pStyle w:val="Heading4"/>
        <w:spacing w:before="0"/>
      </w:pPr>
      <w:r>
        <w:t>Enrolments by younger students</w:t>
      </w:r>
    </w:p>
    <w:p w:rsidR="00BF02BF" w:rsidRDefault="00160984" w:rsidP="006A66EB">
      <w:pPr>
        <w:pStyle w:val="BodyText"/>
        <w:spacing w:before="60"/>
      </w:pPr>
      <w:r>
        <w:t>From 2012 to</w:t>
      </w:r>
      <w:r w:rsidR="00B8056E">
        <w:t xml:space="preserve"> </w:t>
      </w:r>
      <w:r w:rsidR="00D605CB">
        <w:t>2013</w:t>
      </w:r>
      <w:r w:rsidR="00B8056E">
        <w:t>, e</w:t>
      </w:r>
      <w:r w:rsidR="00365746">
        <w:t>nrolments</w:t>
      </w:r>
      <w:r w:rsidR="005332B8">
        <w:t xml:space="preserve"> by domestic students aged 18 to 24 years</w:t>
      </w:r>
      <w:r>
        <w:t xml:space="preserve"> de</w:t>
      </w:r>
      <w:r w:rsidR="00365746">
        <w:t>creased</w:t>
      </w:r>
      <w:r w:rsidR="009D653D">
        <w:t xml:space="preserve"> </w:t>
      </w:r>
      <w:r w:rsidR="00DD4284">
        <w:t xml:space="preserve">by </w:t>
      </w:r>
      <w:r>
        <w:t>0.4</w:t>
      </w:r>
      <w:r w:rsidR="00DD4284">
        <w:t xml:space="preserve"> percent</w:t>
      </w:r>
      <w:r w:rsidR="00ED7F6E">
        <w:t xml:space="preserve"> overall</w:t>
      </w:r>
      <w:r>
        <w:t xml:space="preserve">. </w:t>
      </w:r>
      <w:r w:rsidR="00AB2968">
        <w:t>However, t</w:t>
      </w:r>
      <w:r w:rsidR="00BF02BF">
        <w:t xml:space="preserve">he upward trend in higher-level enrolments for young people </w:t>
      </w:r>
      <w:r w:rsidR="00B96A5E">
        <w:t>continued</w:t>
      </w:r>
      <w:r w:rsidR="00624372">
        <w:t xml:space="preserve"> in 2013.  E</w:t>
      </w:r>
      <w:r w:rsidR="00BF02BF">
        <w:t xml:space="preserve">nrolments in non-degree qualifications </w:t>
      </w:r>
      <w:r w:rsidR="00624372">
        <w:t xml:space="preserve">by students aged 18 to 24 years </w:t>
      </w:r>
      <w:r w:rsidR="00BF02BF">
        <w:t xml:space="preserve">continued to decline </w:t>
      </w:r>
      <w:r w:rsidR="00624372">
        <w:t xml:space="preserve">from 2012 to 2013 </w:t>
      </w:r>
      <w:r w:rsidR="00BF02BF">
        <w:t>(Figure 2.3).</w:t>
      </w:r>
    </w:p>
    <w:p w:rsidR="00E545E8" w:rsidRDefault="00E545E8" w:rsidP="00E545E8">
      <w:pPr>
        <w:pStyle w:val="Caption"/>
      </w:pPr>
      <w:bookmarkStart w:id="16" w:name="_Ref321912165"/>
      <w:proofErr w:type="gramStart"/>
      <w:r>
        <w:t xml:space="preserve">Figure </w:t>
      </w:r>
      <w:r w:rsidR="005B67D2">
        <w:fldChar w:fldCharType="begin"/>
      </w:r>
      <w:r w:rsidR="00B5211F">
        <w:instrText xml:space="preserve"> STYLEREF 1 \s </w:instrText>
      </w:r>
      <w:r w:rsidR="005B67D2">
        <w:fldChar w:fldCharType="separate"/>
      </w:r>
      <w:r w:rsidR="00375A85">
        <w:rPr>
          <w:noProof/>
        </w:rPr>
        <w:t>2</w:t>
      </w:r>
      <w:r w:rsidR="005B67D2">
        <w:fldChar w:fldCharType="end"/>
      </w:r>
      <w:r>
        <w:t>.</w:t>
      </w:r>
      <w:proofErr w:type="gramEnd"/>
      <w:r w:rsidR="005B67D2">
        <w:fldChar w:fldCharType="begin"/>
      </w:r>
      <w:r>
        <w:instrText xml:space="preserve"> SEQ Figure \* ARABIC \s 1 </w:instrText>
      </w:r>
      <w:r w:rsidR="005B67D2">
        <w:fldChar w:fldCharType="separate"/>
      </w:r>
      <w:r w:rsidR="00375A85">
        <w:rPr>
          <w:noProof/>
        </w:rPr>
        <w:t>3</w:t>
      </w:r>
      <w:r w:rsidR="005B67D2">
        <w:fldChar w:fldCharType="end"/>
      </w:r>
      <w:bookmarkEnd w:id="16"/>
    </w:p>
    <w:p w:rsidR="00E545E8" w:rsidRDefault="00E545E8" w:rsidP="00E545E8">
      <w:pPr>
        <w:pStyle w:val="Figurelabel"/>
      </w:pPr>
      <w:bookmarkStart w:id="17" w:name="_Toc384292889"/>
      <w:r>
        <w:t>Domestic students aged 18 to 24 years in formal study by qualification level</w:t>
      </w:r>
      <w:bookmarkEnd w:id="17"/>
    </w:p>
    <w:p w:rsidR="00E545E8" w:rsidRPr="0065398C" w:rsidRDefault="00E545E8" w:rsidP="00E545E8">
      <w:pPr>
        <w:pStyle w:val="BodyText"/>
      </w:pPr>
      <w:r w:rsidRPr="00451C6E">
        <w:rPr>
          <w:noProof/>
          <w:lang w:eastAsia="en-NZ"/>
        </w:rPr>
        <w:drawing>
          <wp:inline distT="0" distB="0" distL="0" distR="0">
            <wp:extent cx="5400040" cy="3275898"/>
            <wp:effectExtent l="1905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400040" cy="3275898"/>
                    </a:xfrm>
                    <a:prstGeom prst="rect">
                      <a:avLst/>
                    </a:prstGeom>
                    <a:noFill/>
                    <a:ln w="9525">
                      <a:noFill/>
                      <a:miter lim="800000"/>
                      <a:headEnd/>
                      <a:tailEnd/>
                    </a:ln>
                  </pic:spPr>
                </pic:pic>
              </a:graphicData>
            </a:graphic>
          </wp:inline>
        </w:drawing>
      </w:r>
    </w:p>
    <w:p w:rsidR="00D570FD" w:rsidRDefault="00D570FD" w:rsidP="00D570FD">
      <w:pPr>
        <w:pStyle w:val="BodyText"/>
      </w:pPr>
      <w:r>
        <w:t>From 2012 to 2013, enrolments in non-degree qualifications by students aged 18 to 24 years fell by 2,170, while enrolments in degree and higher qualifications rose by 1,030.</w:t>
      </w:r>
    </w:p>
    <w:p w:rsidR="007C7903" w:rsidRDefault="00B96A5E" w:rsidP="000D4659">
      <w:pPr>
        <w:pStyle w:val="BodyText"/>
        <w:spacing w:after="180"/>
      </w:pPr>
      <w:r>
        <w:lastRenderedPageBreak/>
        <w:t>E</w:t>
      </w:r>
      <w:r w:rsidR="00977EF3">
        <w:t xml:space="preserve">nrolments by younger students had been increasing at </w:t>
      </w:r>
      <w:r w:rsidR="000E53FF">
        <w:t xml:space="preserve">degree and higher </w:t>
      </w:r>
      <w:r w:rsidR="00977EF3">
        <w:t>qualification levels (</w:t>
      </w:r>
      <w:r w:rsidR="005B67D2">
        <w:fldChar w:fldCharType="begin"/>
      </w:r>
      <w:r w:rsidR="00977EF3">
        <w:instrText xml:space="preserve"> REF _Ref321912165 \h </w:instrText>
      </w:r>
      <w:r w:rsidR="005B67D2">
        <w:fldChar w:fldCharType="separate"/>
      </w:r>
      <w:r w:rsidR="00375A85">
        <w:t xml:space="preserve">Figure </w:t>
      </w:r>
      <w:r w:rsidR="00375A85">
        <w:rPr>
          <w:noProof/>
        </w:rPr>
        <w:t>2</w:t>
      </w:r>
      <w:r w:rsidR="00375A85">
        <w:t>.</w:t>
      </w:r>
      <w:r w:rsidR="00375A85">
        <w:rPr>
          <w:noProof/>
        </w:rPr>
        <w:t>3</w:t>
      </w:r>
      <w:r w:rsidR="005B67D2">
        <w:fldChar w:fldCharType="end"/>
      </w:r>
      <w:r w:rsidR="00BF02BF">
        <w:t>)</w:t>
      </w:r>
      <w:r w:rsidR="00292425">
        <w:t xml:space="preserve">. </w:t>
      </w:r>
      <w:r w:rsidR="00BF02BF">
        <w:t xml:space="preserve"> </w:t>
      </w:r>
      <w:r w:rsidR="00292425">
        <w:t xml:space="preserve">The </w:t>
      </w:r>
      <w:r w:rsidR="00BF02BF">
        <w:t xml:space="preserve">large </w:t>
      </w:r>
      <w:r w:rsidR="00532708">
        <w:t xml:space="preserve">enrolment </w:t>
      </w:r>
      <w:r w:rsidR="00BF02BF">
        <w:t>increase</w:t>
      </w:r>
      <w:r w:rsidR="00532708">
        <w:t>s by this age group</w:t>
      </w:r>
      <w:r w:rsidR="00292425">
        <w:t xml:space="preserve"> in 2009 were</w:t>
      </w:r>
      <w:r w:rsidR="00532708">
        <w:t xml:space="preserve"> due to a</w:t>
      </w:r>
      <w:r w:rsidR="00977EF3">
        <w:t xml:space="preserve"> population bulge of 18 to 21 year</w:t>
      </w:r>
      <w:r w:rsidR="00532708">
        <w:t>-old</w:t>
      </w:r>
      <w:r w:rsidR="00977EF3">
        <w:t>s</w:t>
      </w:r>
      <w:r w:rsidR="00BF02BF">
        <w:t xml:space="preserve"> </w:t>
      </w:r>
      <w:r w:rsidR="00532708">
        <w:t>moving from school to tertiary education</w:t>
      </w:r>
      <w:r w:rsidR="006F26ED">
        <w:t xml:space="preserve"> and weaker employment conditions, especially for younger people</w:t>
      </w:r>
      <w:r w:rsidR="00532708">
        <w:t>. In 2009, e</w:t>
      </w:r>
      <w:r w:rsidR="00977EF3">
        <w:t>nrolments by students aged 18 to 19 years incre</w:t>
      </w:r>
      <w:r w:rsidR="00AD2E21">
        <w:t>ased by 7.8</w:t>
      </w:r>
      <w:r w:rsidR="00977EF3">
        <w:t xml:space="preserve"> percent and enrolments by students aged 20 to 24 years increased by 6.3 percent. </w:t>
      </w:r>
      <w:r w:rsidR="00292425">
        <w:t>However, f</w:t>
      </w:r>
      <w:r w:rsidR="00532708">
        <w:t>ollowing</w:t>
      </w:r>
      <w:r w:rsidR="00977EF3">
        <w:t xml:space="preserve"> the high </w:t>
      </w:r>
      <w:r w:rsidR="00BF02BF">
        <w:t xml:space="preserve">intakes </w:t>
      </w:r>
      <w:r w:rsidR="00532708">
        <w:t xml:space="preserve">of young people </w:t>
      </w:r>
      <w:r w:rsidR="00977EF3">
        <w:t>in 2009</w:t>
      </w:r>
      <w:r w:rsidR="00292425">
        <w:t xml:space="preserve"> and 2010</w:t>
      </w:r>
      <w:r w:rsidR="00977EF3">
        <w:t xml:space="preserve">, enrolments by 18 to 24 year-olds decreased from 2010 to </w:t>
      </w:r>
      <w:r w:rsidR="00532708">
        <w:t>2011. Student numbers also fell in</w:t>
      </w:r>
      <w:r w:rsidR="00160984">
        <w:t xml:space="preserve"> Christchurch </w:t>
      </w:r>
      <w:r w:rsidR="00782918">
        <w:t>in 2011</w:t>
      </w:r>
      <w:r w:rsidR="00532708">
        <w:t xml:space="preserve"> following the February earthquake</w:t>
      </w:r>
      <w:r w:rsidR="00782918">
        <w:t>.</w:t>
      </w:r>
    </w:p>
    <w:p w:rsidR="00ED7F6E" w:rsidRDefault="00ED7F6E" w:rsidP="000D4659">
      <w:pPr>
        <w:pStyle w:val="BodyText"/>
        <w:spacing w:after="180"/>
      </w:pPr>
      <w:r>
        <w:t>The latest decrease in en</w:t>
      </w:r>
      <w:r w:rsidR="00E5067A">
        <w:t xml:space="preserve">rolments by 18 to 24 year-olds </w:t>
      </w:r>
      <w:r>
        <w:t>was due to fewer enrolments by</w:t>
      </w:r>
      <w:r w:rsidR="00AB2968">
        <w:t xml:space="preserve"> students aged 20 to 24 year</w:t>
      </w:r>
      <w:r>
        <w:t>s, partially offset by a small increase in enrolments by</w:t>
      </w:r>
      <w:r w:rsidR="00AB2968">
        <w:t xml:space="preserve"> students aged</w:t>
      </w:r>
      <w:r>
        <w:t xml:space="preserve"> 18</w:t>
      </w:r>
      <w:r w:rsidR="00AB2968">
        <w:t xml:space="preserve"> to 19 year</w:t>
      </w:r>
      <w:r>
        <w:t>s.</w:t>
      </w:r>
    </w:p>
    <w:p w:rsidR="00E545E8" w:rsidRDefault="00292425" w:rsidP="000D4659">
      <w:pPr>
        <w:pStyle w:val="BodyText"/>
        <w:spacing w:after="180"/>
      </w:pPr>
      <w:r>
        <w:t>The</w:t>
      </w:r>
      <w:r w:rsidR="007B3C86">
        <w:t xml:space="preserve"> </w:t>
      </w:r>
      <w:r w:rsidR="007B2C96">
        <w:t xml:space="preserve">New Zealand </w:t>
      </w:r>
      <w:r w:rsidR="007B3C86">
        <w:t xml:space="preserve">population aged 18 and 19 years </w:t>
      </w:r>
      <w:r w:rsidR="00ED7F6E">
        <w:t xml:space="preserve">has </w:t>
      </w:r>
      <w:r>
        <w:t>been declining</w:t>
      </w:r>
      <w:r w:rsidR="004A12F9">
        <w:t xml:space="preserve"> </w:t>
      </w:r>
      <w:r w:rsidR="00782918">
        <w:t xml:space="preserve">in number </w:t>
      </w:r>
      <w:r>
        <w:t>recently</w:t>
      </w:r>
      <w:r w:rsidR="00F41727">
        <w:t xml:space="preserve"> (</w:t>
      </w:r>
      <w:r w:rsidR="005B67D2">
        <w:fldChar w:fldCharType="begin"/>
      </w:r>
      <w:r w:rsidR="00F41727">
        <w:instrText xml:space="preserve"> REF _Ref323555371 \h </w:instrText>
      </w:r>
      <w:r w:rsidR="005B67D2">
        <w:fldChar w:fldCharType="separate"/>
      </w:r>
      <w:r w:rsidR="00375A85">
        <w:t xml:space="preserve">Figure </w:t>
      </w:r>
      <w:r w:rsidR="00375A85">
        <w:rPr>
          <w:noProof/>
        </w:rPr>
        <w:t>2</w:t>
      </w:r>
      <w:r w:rsidR="00375A85">
        <w:t>.</w:t>
      </w:r>
      <w:r w:rsidR="00375A85">
        <w:rPr>
          <w:noProof/>
        </w:rPr>
        <w:t>4</w:t>
      </w:r>
      <w:r w:rsidR="005B67D2">
        <w:fldChar w:fldCharType="end"/>
      </w:r>
      <w:r>
        <w:t>)</w:t>
      </w:r>
      <w:r w:rsidR="00AB2968">
        <w:t>,</w:t>
      </w:r>
      <w:r>
        <w:t xml:space="preserve"> yet </w:t>
      </w:r>
      <w:r w:rsidR="00AB2968">
        <w:t xml:space="preserve">tertiary education </w:t>
      </w:r>
      <w:r w:rsidR="007B2C96">
        <w:t>e</w:t>
      </w:r>
      <w:r w:rsidR="003E1F29">
        <w:t xml:space="preserve">nrolments by this group </w:t>
      </w:r>
      <w:r w:rsidR="00051E52">
        <w:t xml:space="preserve">increased </w:t>
      </w:r>
      <w:r w:rsidR="00AD2E21">
        <w:t>in 2012 and in</w:t>
      </w:r>
      <w:r w:rsidR="008F0B50">
        <w:t xml:space="preserve"> </w:t>
      </w:r>
      <w:r w:rsidR="00D605CB">
        <w:t>2013</w:t>
      </w:r>
      <w:r w:rsidR="00E5067A">
        <w:t xml:space="preserve">. </w:t>
      </w:r>
      <w:r>
        <w:t>However, t</w:t>
      </w:r>
      <w:r w:rsidR="00782918">
        <w:t xml:space="preserve">he </w:t>
      </w:r>
      <w:r w:rsidR="00AB2968">
        <w:t xml:space="preserve">latest </w:t>
      </w:r>
      <w:r w:rsidR="00782918">
        <w:t>increase was small</w:t>
      </w:r>
      <w:r w:rsidR="00AB2968">
        <w:t xml:space="preserve"> – enrolments in </w:t>
      </w:r>
      <w:r>
        <w:t>degree and higher-lev</w:t>
      </w:r>
      <w:r w:rsidR="00AB2968">
        <w:t xml:space="preserve">el qualifications increased by 920.  </w:t>
      </w:r>
      <w:r w:rsidR="00E5067A">
        <w:t>I</w:t>
      </w:r>
      <w:r w:rsidR="00782918">
        <w:t xml:space="preserve">ncluded </w:t>
      </w:r>
      <w:r w:rsidR="00E545E8">
        <w:t xml:space="preserve">in </w:t>
      </w:r>
      <w:r w:rsidR="00AB2968">
        <w:t>this</w:t>
      </w:r>
      <w:r w:rsidR="00E545E8">
        <w:t xml:space="preserve"> increase were</w:t>
      </w:r>
      <w:r w:rsidR="00E5067A">
        <w:t xml:space="preserve"> </w:t>
      </w:r>
      <w:r>
        <w:t xml:space="preserve">more </w:t>
      </w:r>
      <w:r w:rsidR="00782918">
        <w:t>bachelors-</w:t>
      </w:r>
      <w:r w:rsidR="008F0B50">
        <w:t>degree</w:t>
      </w:r>
      <w:r w:rsidR="003F1016">
        <w:t xml:space="preserve"> enrolments, </w:t>
      </w:r>
      <w:r>
        <w:t xml:space="preserve">up by 1.0 </w:t>
      </w:r>
      <w:proofErr w:type="gramStart"/>
      <w:r>
        <w:t>percent</w:t>
      </w:r>
      <w:r w:rsidR="003F1016">
        <w:t>,</w:t>
      </w:r>
      <w:proofErr w:type="gramEnd"/>
      <w:r>
        <w:t xml:space="preserve"> </w:t>
      </w:r>
      <w:r w:rsidR="00782918">
        <w:t xml:space="preserve">and </w:t>
      </w:r>
      <w:r>
        <w:t xml:space="preserve">more </w:t>
      </w:r>
      <w:r w:rsidR="000411F2">
        <w:t xml:space="preserve">enrolments in </w:t>
      </w:r>
      <w:r w:rsidR="008F0B50">
        <w:t>honours</w:t>
      </w:r>
      <w:r w:rsidR="00DC6252">
        <w:rPr>
          <w:rStyle w:val="FootnoteReference"/>
        </w:rPr>
        <w:footnoteReference w:id="4"/>
      </w:r>
      <w:r w:rsidR="00DC6252">
        <w:t xml:space="preserve"> </w:t>
      </w:r>
      <w:r w:rsidR="00DC6252">
        <w:rPr>
          <w:rFonts w:ascii="Calibri" w:hAnsi="Calibri" w:cs="Calibri"/>
        </w:rPr>
        <w:t>─</w:t>
      </w:r>
      <w:r w:rsidR="00DC6252">
        <w:t xml:space="preserve"> </w:t>
      </w:r>
      <w:r>
        <w:t>up by 23 percent</w:t>
      </w:r>
      <w:r w:rsidR="009F5A23">
        <w:t xml:space="preserve"> </w:t>
      </w:r>
      <w:r w:rsidR="003F1016">
        <w:t>(</w:t>
      </w:r>
      <w:r w:rsidR="009F5A23">
        <w:t xml:space="preserve">see </w:t>
      </w:r>
      <w:r w:rsidR="003F1016">
        <w:t xml:space="preserve">comments on the reclassification of qualifications by level in </w:t>
      </w:r>
      <w:r w:rsidR="009F5A23">
        <w:t>section</w:t>
      </w:r>
      <w:r w:rsidR="003F1016">
        <w:t xml:space="preserve"> 4</w:t>
      </w:r>
      <w:r>
        <w:t>)</w:t>
      </w:r>
      <w:r w:rsidR="003E1F29">
        <w:t xml:space="preserve">. </w:t>
      </w:r>
      <w:r w:rsidR="003F1016">
        <w:t xml:space="preserve"> </w:t>
      </w:r>
      <w:r w:rsidR="00AB2968">
        <w:t>Enrolments in non-degree qualifications by students aged 18 to 19 years decrease</w:t>
      </w:r>
      <w:r w:rsidR="009F5A23">
        <w:t>d by 847.</w:t>
      </w:r>
    </w:p>
    <w:p w:rsidR="003151E9" w:rsidRDefault="00425FAA" w:rsidP="000D4659">
      <w:pPr>
        <w:pStyle w:val="BodyText"/>
        <w:spacing w:after="180"/>
      </w:pPr>
      <w:r>
        <w:t xml:space="preserve">Despite the </w:t>
      </w:r>
      <w:r w:rsidR="00E5067A">
        <w:t xml:space="preserve">recent expansions of the </w:t>
      </w:r>
      <w:r>
        <w:t>New Zealand economy, t</w:t>
      </w:r>
      <w:r w:rsidR="005445C8">
        <w:t>he weak</w:t>
      </w:r>
      <w:r w:rsidR="006F4FC8">
        <w:t xml:space="preserve"> employment conditions for younger</w:t>
      </w:r>
      <w:r w:rsidR="00A86411">
        <w:t xml:space="preserve"> people </w:t>
      </w:r>
      <w:r w:rsidR="005445C8">
        <w:t>have continued and it is</w:t>
      </w:r>
      <w:r w:rsidR="006F4FC8">
        <w:t xml:space="preserve"> likely</w:t>
      </w:r>
      <w:r w:rsidR="005445C8">
        <w:t xml:space="preserve"> that they have</w:t>
      </w:r>
      <w:r w:rsidR="006F4FC8">
        <w:t xml:space="preserve"> contributed, in part, to </w:t>
      </w:r>
      <w:r w:rsidR="00540389">
        <w:t xml:space="preserve">more </w:t>
      </w:r>
      <w:r w:rsidR="00223EEA">
        <w:t xml:space="preserve">young </w:t>
      </w:r>
      <w:r w:rsidR="003F1016">
        <w:t xml:space="preserve">people entering tertiary study </w:t>
      </w:r>
      <w:r w:rsidR="00223EEA">
        <w:t xml:space="preserve">in 2013 </w:t>
      </w:r>
      <w:r w:rsidR="003F1016">
        <w:t xml:space="preserve">as well as some </w:t>
      </w:r>
      <w:r w:rsidR="00223EEA">
        <w:t xml:space="preserve">younger </w:t>
      </w:r>
      <w:r w:rsidR="003F1016">
        <w:t xml:space="preserve">students progressing to higher levels of </w:t>
      </w:r>
      <w:r w:rsidR="006F4FC8">
        <w:t xml:space="preserve">study. </w:t>
      </w:r>
      <w:r>
        <w:t xml:space="preserve"> The </w:t>
      </w:r>
      <w:r w:rsidR="005445C8">
        <w:t xml:space="preserve">unemployment rate for 15 to 19 year-olds </w:t>
      </w:r>
      <w:r w:rsidR="00A86411">
        <w:t>de</w:t>
      </w:r>
      <w:r w:rsidR="003151E9">
        <w:t xml:space="preserve">creased </w:t>
      </w:r>
      <w:r w:rsidR="0002634E">
        <w:t xml:space="preserve">from </w:t>
      </w:r>
      <w:r w:rsidR="00A86411">
        <w:t>31</w:t>
      </w:r>
      <w:r w:rsidR="003151E9">
        <w:t xml:space="preserve"> percent in </w:t>
      </w:r>
      <w:r w:rsidR="0002634E">
        <w:t xml:space="preserve">the December </w:t>
      </w:r>
      <w:r w:rsidR="00D605CB">
        <w:t>2012</w:t>
      </w:r>
      <w:r w:rsidR="003151E9">
        <w:t xml:space="preserve"> </w:t>
      </w:r>
      <w:r w:rsidR="0002634E">
        <w:t xml:space="preserve">quarter </w:t>
      </w:r>
      <w:r w:rsidR="003151E9">
        <w:t>to</w:t>
      </w:r>
      <w:r w:rsidR="00A86411">
        <w:t xml:space="preserve"> 24</w:t>
      </w:r>
      <w:r w:rsidR="00D93703">
        <w:t xml:space="preserve"> percent </w:t>
      </w:r>
      <w:r w:rsidR="00701BA8">
        <w:t xml:space="preserve">in the December </w:t>
      </w:r>
      <w:r w:rsidR="00D605CB">
        <w:t>2013</w:t>
      </w:r>
      <w:r w:rsidR="00701BA8">
        <w:t xml:space="preserve"> quarter</w:t>
      </w:r>
      <w:r w:rsidR="005445C8">
        <w:t>,</w:t>
      </w:r>
      <w:r w:rsidR="00ED7F6E">
        <w:t xml:space="preserve"> but it </w:t>
      </w:r>
      <w:r w:rsidR="000411F2">
        <w:t>continued to be much</w:t>
      </w:r>
      <w:r>
        <w:t xml:space="preserve"> higher</w:t>
      </w:r>
      <w:r w:rsidR="00540389">
        <w:t xml:space="preserve"> than for</w:t>
      </w:r>
      <w:r w:rsidR="005445C8">
        <w:t xml:space="preserve"> older age groups.</w:t>
      </w:r>
      <w:r w:rsidR="006F26ED">
        <w:t xml:space="preserve">  The upward trend in higher-level enrolments by young people also reflects increasing school achievement, with more young people qualified to study at higher levels.</w:t>
      </w:r>
    </w:p>
    <w:p w:rsidR="007E5043" w:rsidRDefault="007E5043" w:rsidP="007E5043">
      <w:pPr>
        <w:pStyle w:val="Caption"/>
      </w:pPr>
      <w:bookmarkStart w:id="18" w:name="_Ref323555371"/>
      <w:proofErr w:type="gramStart"/>
      <w:r>
        <w:t xml:space="preserve">Figure </w:t>
      </w:r>
      <w:r w:rsidR="005B67D2">
        <w:fldChar w:fldCharType="begin"/>
      </w:r>
      <w:r w:rsidR="00B5211F">
        <w:instrText xml:space="preserve"> STYLEREF 1 \s </w:instrText>
      </w:r>
      <w:r w:rsidR="005B67D2">
        <w:fldChar w:fldCharType="separate"/>
      </w:r>
      <w:r w:rsidR="00375A85">
        <w:rPr>
          <w:noProof/>
        </w:rPr>
        <w:t>2</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4</w:t>
      </w:r>
      <w:r w:rsidR="005B67D2">
        <w:fldChar w:fldCharType="end"/>
      </w:r>
      <w:bookmarkEnd w:id="18"/>
    </w:p>
    <w:p w:rsidR="007E5043" w:rsidRDefault="007E5043" w:rsidP="000D4659">
      <w:pPr>
        <w:pStyle w:val="Figurelabel"/>
        <w:spacing w:after="0"/>
      </w:pPr>
      <w:bookmarkStart w:id="19" w:name="_Toc384292890"/>
      <w:r>
        <w:t>New Zealand pop</w:t>
      </w:r>
      <w:r w:rsidR="006920E4">
        <w:t xml:space="preserve">ulation aged 18 </w:t>
      </w:r>
      <w:r w:rsidR="000B1C63">
        <w:t>to 24</w:t>
      </w:r>
      <w:r>
        <w:t xml:space="preserve"> years</w:t>
      </w:r>
      <w:bookmarkEnd w:id="19"/>
    </w:p>
    <w:p w:rsidR="000D4659" w:rsidRDefault="000D4659" w:rsidP="000D4659">
      <w:pPr>
        <w:pStyle w:val="BodyText"/>
      </w:pPr>
      <w:r w:rsidRPr="000D4659">
        <w:rPr>
          <w:noProof/>
          <w:lang w:eastAsia="en-NZ"/>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400675" cy="3286125"/>
            <wp:effectExtent l="19050" t="0" r="9525" b="0"/>
            <wp:wrapSquare wrapText="bothSides"/>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400675" cy="3286125"/>
                    </a:xfrm>
                    <a:prstGeom prst="rect">
                      <a:avLst/>
                    </a:prstGeom>
                    <a:noFill/>
                    <a:ln w="9525">
                      <a:noFill/>
                      <a:miter lim="800000"/>
                      <a:headEnd/>
                      <a:tailEnd/>
                    </a:ln>
                  </pic:spPr>
                </pic:pic>
              </a:graphicData>
            </a:graphic>
          </wp:anchor>
        </w:drawing>
      </w:r>
    </w:p>
    <w:p w:rsidR="00E5067A" w:rsidRDefault="00E5067A" w:rsidP="000D4659">
      <w:pPr>
        <w:pStyle w:val="BodyText"/>
      </w:pPr>
      <w:r>
        <w:lastRenderedPageBreak/>
        <w:t xml:space="preserve">Enrolments by </w:t>
      </w:r>
      <w:r w:rsidR="00D4369F">
        <w:t>students aged 20 to 24 year</w:t>
      </w:r>
      <w:r>
        <w:t xml:space="preserve">s fell by 0.8 percent from 2012 to 2013, despite a small increase in the </w:t>
      </w:r>
      <w:r w:rsidR="00D4369F">
        <w:t>size of</w:t>
      </w:r>
      <w:r>
        <w:t xml:space="preserve"> this age group (up by 0.9 percent). From 2012 to 2013, the population aged 22 to 24 years increased in size by </w:t>
      </w:r>
      <w:r w:rsidR="000411F2">
        <w:t>2.9 percent, while the population</w:t>
      </w:r>
      <w:r>
        <w:t xml:space="preserve"> aged 20 and 21 years decreased in size by 2.0 percent.</w:t>
      </w:r>
    </w:p>
    <w:p w:rsidR="00E5067A" w:rsidRDefault="00E5067A" w:rsidP="00E5067A">
      <w:pPr>
        <w:pStyle w:val="BodyText"/>
      </w:pPr>
      <w:r>
        <w:t xml:space="preserve">Enrolments by </w:t>
      </w:r>
      <w:r w:rsidR="00D4369F">
        <w:t>students aged 20 to 24 year</w:t>
      </w:r>
      <w:r>
        <w:t xml:space="preserve">s in non-degree qualifications fell </w:t>
      </w:r>
      <w:r w:rsidR="00D4369F">
        <w:t xml:space="preserve">from 2012 to 2013 </w:t>
      </w:r>
      <w:r>
        <w:t xml:space="preserve">by 1,320 and </w:t>
      </w:r>
      <w:r w:rsidR="00D4369F">
        <w:t>enrolments</w:t>
      </w:r>
      <w:r>
        <w:t xml:space="preserve"> in degree and higher qualification</w:t>
      </w:r>
      <w:r w:rsidR="00D4369F">
        <w:t>s</w:t>
      </w:r>
      <w:r>
        <w:t xml:space="preserve"> </w:t>
      </w:r>
      <w:r w:rsidR="00D4369F">
        <w:t xml:space="preserve">by this group </w:t>
      </w:r>
      <w:r>
        <w:t>increased by only 110. This was due to only small increases in bachelors and masters enrolments and decreases in</w:t>
      </w:r>
      <w:r w:rsidR="000411F2">
        <w:t xml:space="preserve"> enrolments for</w:t>
      </w:r>
      <w:r>
        <w:t xml:space="preserve"> </w:t>
      </w:r>
      <w:r w:rsidR="001C60E7">
        <w:t>honours</w:t>
      </w:r>
      <w:r>
        <w:t xml:space="preserve"> and doctorates</w:t>
      </w:r>
      <w:r w:rsidR="000E53FF">
        <w:t xml:space="preserve"> (see comment on the reclassification of qualifications by level in section 4)</w:t>
      </w:r>
      <w:r>
        <w:t>.</w:t>
      </w:r>
    </w:p>
    <w:p w:rsidR="00E5067A" w:rsidRDefault="00E5067A" w:rsidP="00D03BAC">
      <w:pPr>
        <w:pStyle w:val="BodyText"/>
      </w:pPr>
      <w:r>
        <w:t xml:space="preserve">The </w:t>
      </w:r>
      <w:r w:rsidR="00E545E8">
        <w:t xml:space="preserve">latest </w:t>
      </w:r>
      <w:r>
        <w:t xml:space="preserve">decrease in enrolments </w:t>
      </w:r>
      <w:r w:rsidR="00D4369F">
        <w:t>by students aged</w:t>
      </w:r>
      <w:r>
        <w:t xml:space="preserve"> 20 t</w:t>
      </w:r>
      <w:r w:rsidR="00D4369F">
        <w:t>o 24 year</w:t>
      </w:r>
      <w:r w:rsidR="000411F2">
        <w:t>s suggests that</w:t>
      </w:r>
      <w:r>
        <w:t xml:space="preserve"> improvement</w:t>
      </w:r>
      <w:r w:rsidR="000411F2">
        <w:t>s</w:t>
      </w:r>
      <w:r>
        <w:t xml:space="preserve"> in </w:t>
      </w:r>
      <w:r w:rsidR="000411F2">
        <w:t xml:space="preserve">the </w:t>
      </w:r>
      <w:r>
        <w:t xml:space="preserve">employment conditions for this age group may have led to some </w:t>
      </w:r>
      <w:r w:rsidR="00D4369F">
        <w:t xml:space="preserve">of these </w:t>
      </w:r>
      <w:r>
        <w:t>young people entering the workforce. The unemployment rate for</w:t>
      </w:r>
      <w:r w:rsidR="00D4369F">
        <w:t xml:space="preserve"> people aged 20 to 24 year</w:t>
      </w:r>
      <w:r>
        <w:t>s was 12.4 perce</w:t>
      </w:r>
      <w:r w:rsidR="000D4659">
        <w:t xml:space="preserve">nt in the December 2012 quarter, while </w:t>
      </w:r>
      <w:r>
        <w:t xml:space="preserve">throughout most of </w:t>
      </w:r>
      <w:proofErr w:type="gramStart"/>
      <w:r>
        <w:t>2013</w:t>
      </w:r>
      <w:r w:rsidR="000D4659">
        <w:t>,</w:t>
      </w:r>
      <w:proofErr w:type="gramEnd"/>
      <w:r w:rsidR="000411F2">
        <w:t xml:space="preserve"> it was closer to 11 percent. In the December 2013 quarter the unemployment rate for this age group was</w:t>
      </w:r>
      <w:r>
        <w:t xml:space="preserve"> 10.9 percent.</w:t>
      </w:r>
      <w:r w:rsidRPr="002702D7">
        <w:rPr>
          <w:rStyle w:val="FootnoteReference"/>
        </w:rPr>
        <w:t xml:space="preserve"> </w:t>
      </w:r>
      <w:r>
        <w:rPr>
          <w:rStyle w:val="FootnoteReference"/>
        </w:rPr>
        <w:footnoteReference w:id="5"/>
      </w:r>
    </w:p>
    <w:p w:rsidR="00D84866" w:rsidRDefault="00D84866" w:rsidP="00D03BAC">
      <w:pPr>
        <w:pStyle w:val="Heading4"/>
        <w:spacing w:before="240"/>
      </w:pPr>
      <w:r>
        <w:t>Enrolments by students aged 25 years and over</w:t>
      </w:r>
    </w:p>
    <w:p w:rsidR="00126BFA" w:rsidRDefault="00845470" w:rsidP="006A66EB">
      <w:pPr>
        <w:pStyle w:val="BodyText"/>
        <w:spacing w:before="60"/>
      </w:pPr>
      <w:r>
        <w:t xml:space="preserve">From </w:t>
      </w:r>
      <w:r w:rsidR="00D605CB">
        <w:t>2012</w:t>
      </w:r>
      <w:r>
        <w:t xml:space="preserve"> to </w:t>
      </w:r>
      <w:r w:rsidR="00D605CB">
        <w:t>2013</w:t>
      </w:r>
      <w:r>
        <w:t>, e</w:t>
      </w:r>
      <w:r w:rsidR="00126BFA">
        <w:t>nrolments by domestic students aged 25 years and ove</w:t>
      </w:r>
      <w:r>
        <w:t xml:space="preserve">r decreased by </w:t>
      </w:r>
      <w:r w:rsidR="00352E44">
        <w:t>3.7</w:t>
      </w:r>
      <w:r>
        <w:t xml:space="preserve"> percent, </w:t>
      </w:r>
      <w:r w:rsidR="00352E44">
        <w:t>following</w:t>
      </w:r>
      <w:r w:rsidR="00126BFA">
        <w:t xml:space="preserve"> decline</w:t>
      </w:r>
      <w:r w:rsidR="00352E44">
        <w:t>s</w:t>
      </w:r>
      <w:r w:rsidR="00126BFA">
        <w:t xml:space="preserve"> of</w:t>
      </w:r>
      <w:r w:rsidR="00352E44">
        <w:t xml:space="preserve"> 4.6 percent from 2011 to 2012 and 14 percent from 2010</w:t>
      </w:r>
      <w:r w:rsidR="00126BFA">
        <w:t xml:space="preserve"> to </w:t>
      </w:r>
      <w:r w:rsidR="00352E44">
        <w:t>2011</w:t>
      </w:r>
      <w:r w:rsidR="00126BFA">
        <w:t>.</w:t>
      </w:r>
    </w:p>
    <w:p w:rsidR="006628DC" w:rsidRDefault="00DE3610" w:rsidP="009E1CAD">
      <w:pPr>
        <w:pStyle w:val="BodyText"/>
      </w:pPr>
      <w:r>
        <w:t xml:space="preserve">In </w:t>
      </w:r>
      <w:r w:rsidR="00D605CB">
        <w:t>2013</w:t>
      </w:r>
      <w:r>
        <w:t>, t</w:t>
      </w:r>
      <w:r w:rsidR="00352E44">
        <w:t>here were 5,14</w:t>
      </w:r>
      <w:r w:rsidR="003246D8">
        <w:t xml:space="preserve">0 fewer </w:t>
      </w:r>
      <w:r w:rsidR="000A72C5">
        <w:t>students aged 25 years and over enrolled</w:t>
      </w:r>
      <w:r>
        <w:t xml:space="preserve"> </w:t>
      </w:r>
      <w:r w:rsidR="003246D8">
        <w:t xml:space="preserve">in non-degree qualifications </w:t>
      </w:r>
      <w:r w:rsidR="000411F2">
        <w:t xml:space="preserve">than in 2012 </w:t>
      </w:r>
      <w:r w:rsidR="00352E44">
        <w:t>(down by 4.2</w:t>
      </w:r>
      <w:r w:rsidR="000A72C5">
        <w:t xml:space="preserve"> percent)</w:t>
      </w:r>
      <w:r w:rsidR="00BB40B3">
        <w:t>.</w:t>
      </w:r>
      <w:r w:rsidR="00352E44">
        <w:t xml:space="preserve"> Enrolments in degree and higher qualifications by this group</w:t>
      </w:r>
      <w:r w:rsidR="00BB40B3">
        <w:t xml:space="preserve"> also decreased</w:t>
      </w:r>
      <w:r w:rsidR="00D4369F">
        <w:t xml:space="preserve"> from 2012 to 2013</w:t>
      </w:r>
      <w:r w:rsidR="00BB40B3">
        <w:t>, down by 2,610</w:t>
      </w:r>
      <w:r w:rsidR="005E3795">
        <w:t xml:space="preserve"> </w:t>
      </w:r>
      <w:r w:rsidR="00D4369F">
        <w:t>or 3.5 percent</w:t>
      </w:r>
      <w:r w:rsidR="006628DC">
        <w:t xml:space="preserve">. </w:t>
      </w:r>
      <w:r w:rsidR="00352E44">
        <w:t xml:space="preserve">These decreases </w:t>
      </w:r>
      <w:r w:rsidR="009117EC">
        <w:t>were spread across most</w:t>
      </w:r>
      <w:r w:rsidR="00352E44">
        <w:t xml:space="preserve"> qualification levels</w:t>
      </w:r>
      <w:r w:rsidR="006628DC">
        <w:t xml:space="preserve"> (see </w:t>
      </w:r>
      <w:r w:rsidR="005B67D2">
        <w:fldChar w:fldCharType="begin"/>
      </w:r>
      <w:r w:rsidR="006628DC">
        <w:instrText xml:space="preserve"> REF _Ref321914762 \h </w:instrText>
      </w:r>
      <w:r w:rsidR="005B67D2">
        <w:fldChar w:fldCharType="separate"/>
      </w:r>
      <w:r w:rsidR="00375A85">
        <w:t xml:space="preserve">Figure </w:t>
      </w:r>
      <w:r w:rsidR="00375A85">
        <w:rPr>
          <w:noProof/>
        </w:rPr>
        <w:t>2</w:t>
      </w:r>
      <w:r w:rsidR="00375A85">
        <w:t>.</w:t>
      </w:r>
      <w:r w:rsidR="00375A85">
        <w:rPr>
          <w:noProof/>
        </w:rPr>
        <w:t>5</w:t>
      </w:r>
      <w:r w:rsidR="005B67D2">
        <w:fldChar w:fldCharType="end"/>
      </w:r>
      <w:r w:rsidR="006628DC">
        <w:t>).</w:t>
      </w:r>
      <w:r w:rsidR="00BB40B3" w:rsidRPr="00BB40B3">
        <w:rPr>
          <w:rStyle w:val="FootnoteReference"/>
        </w:rPr>
        <w:t xml:space="preserve"> </w:t>
      </w:r>
      <w:r w:rsidR="00BB40B3">
        <w:rPr>
          <w:rStyle w:val="FootnoteReference"/>
        </w:rPr>
        <w:footnoteReference w:id="6"/>
      </w:r>
    </w:p>
    <w:p w:rsidR="0065398C" w:rsidRDefault="0065398C" w:rsidP="00E02FAC">
      <w:pPr>
        <w:pStyle w:val="Caption"/>
      </w:pPr>
      <w:bookmarkStart w:id="20" w:name="_Ref321914762"/>
      <w:proofErr w:type="gramStart"/>
      <w:r>
        <w:t xml:space="preserve">Figure </w:t>
      </w:r>
      <w:r w:rsidR="005B67D2">
        <w:fldChar w:fldCharType="begin"/>
      </w:r>
      <w:r w:rsidR="00B5211F">
        <w:instrText xml:space="preserve"> STYLEREF 1 \s </w:instrText>
      </w:r>
      <w:r w:rsidR="005B67D2">
        <w:fldChar w:fldCharType="separate"/>
      </w:r>
      <w:r w:rsidR="00375A85">
        <w:rPr>
          <w:noProof/>
        </w:rPr>
        <w:t>2</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5</w:t>
      </w:r>
      <w:r w:rsidR="005B67D2">
        <w:fldChar w:fldCharType="end"/>
      </w:r>
      <w:bookmarkEnd w:id="20"/>
    </w:p>
    <w:p w:rsidR="0065398C" w:rsidRDefault="0065398C" w:rsidP="0065398C">
      <w:pPr>
        <w:pStyle w:val="Figurelabel"/>
      </w:pPr>
      <w:bookmarkStart w:id="21" w:name="_Toc384292891"/>
      <w:r>
        <w:t>Domestic students aged 25 years and over in formal study by qualification level</w:t>
      </w:r>
      <w:bookmarkEnd w:id="21"/>
    </w:p>
    <w:p w:rsidR="00CB74F5" w:rsidRPr="00CB74F5" w:rsidRDefault="00CB74F5" w:rsidP="00CB74F5">
      <w:pPr>
        <w:pStyle w:val="BodyText"/>
      </w:pPr>
      <w:r w:rsidRPr="00CB74F5">
        <w:rPr>
          <w:noProof/>
          <w:lang w:eastAsia="en-NZ"/>
        </w:rPr>
        <w:drawing>
          <wp:inline distT="0" distB="0" distL="0" distR="0">
            <wp:extent cx="5400040" cy="3275898"/>
            <wp:effectExtent l="1905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400040" cy="3275898"/>
                    </a:xfrm>
                    <a:prstGeom prst="rect">
                      <a:avLst/>
                    </a:prstGeom>
                    <a:noFill/>
                    <a:ln w="9525">
                      <a:noFill/>
                      <a:miter lim="800000"/>
                      <a:headEnd/>
                      <a:tailEnd/>
                    </a:ln>
                  </pic:spPr>
                </pic:pic>
              </a:graphicData>
            </a:graphic>
          </wp:inline>
        </w:drawing>
      </w:r>
    </w:p>
    <w:p w:rsidR="00D15BF6" w:rsidRPr="004C16F8" w:rsidRDefault="00D15BF6" w:rsidP="00CB74F5">
      <w:pPr>
        <w:pStyle w:val="Heading4"/>
        <w:spacing w:before="0" w:after="120"/>
      </w:pPr>
      <w:r w:rsidRPr="004C16F8">
        <w:lastRenderedPageBreak/>
        <w:t>International students</w:t>
      </w:r>
    </w:p>
    <w:p w:rsidR="00D4369F" w:rsidRPr="004C16F8" w:rsidRDefault="0073013D" w:rsidP="00CB74F5">
      <w:pPr>
        <w:pStyle w:val="BodyText"/>
        <w:rPr>
          <w:b/>
        </w:rPr>
      </w:pPr>
      <w:r w:rsidRPr="004C16F8">
        <w:t xml:space="preserve">From </w:t>
      </w:r>
      <w:r w:rsidR="00D605CB" w:rsidRPr="004C16F8">
        <w:t>2012</w:t>
      </w:r>
      <w:r w:rsidRPr="004C16F8">
        <w:t xml:space="preserve"> to</w:t>
      </w:r>
      <w:r w:rsidR="00D15BF6" w:rsidRPr="004C16F8">
        <w:t xml:space="preserve"> </w:t>
      </w:r>
      <w:r w:rsidR="00D605CB" w:rsidRPr="004C16F8">
        <w:t>2013</w:t>
      </w:r>
      <w:r w:rsidR="00D15BF6" w:rsidRPr="004C16F8">
        <w:t>, t</w:t>
      </w:r>
      <w:r w:rsidR="008446D1" w:rsidRPr="004C16F8">
        <w:t xml:space="preserve">he </w:t>
      </w:r>
      <w:r w:rsidR="000A72C5" w:rsidRPr="004C16F8">
        <w:t>number of international student</w:t>
      </w:r>
      <w:r w:rsidR="008446D1" w:rsidRPr="004C16F8">
        <w:t xml:space="preserve">s </w:t>
      </w:r>
      <w:r w:rsidR="00BB40B3" w:rsidRPr="004C16F8">
        <w:t>increased by 0.6 percent</w:t>
      </w:r>
      <w:r w:rsidR="000A72C5" w:rsidRPr="004C16F8">
        <w:t xml:space="preserve">, </w:t>
      </w:r>
      <w:r w:rsidR="00BB40B3" w:rsidRPr="004C16F8">
        <w:t>while</w:t>
      </w:r>
      <w:r w:rsidR="000A72C5" w:rsidRPr="004C16F8">
        <w:t xml:space="preserve"> in terms of equivale</w:t>
      </w:r>
      <w:r w:rsidR="00BB40B3" w:rsidRPr="004C16F8">
        <w:t>nt full-time student units</w:t>
      </w:r>
      <w:r w:rsidR="000D4659" w:rsidRPr="004C16F8">
        <w:t>,</w:t>
      </w:r>
      <w:r w:rsidR="00BB40B3" w:rsidRPr="004C16F8">
        <w:t xml:space="preserve"> the increase was stronger,</w:t>
      </w:r>
      <w:r w:rsidR="000A72C5" w:rsidRPr="004C16F8">
        <w:t xml:space="preserve"> </w:t>
      </w:r>
      <w:r w:rsidR="00B16A9B" w:rsidRPr="004C16F8">
        <w:t>up by 0</w:t>
      </w:r>
      <w:r w:rsidR="000A72C5" w:rsidRPr="004C16F8">
        <w:t>.8 percent.</w:t>
      </w:r>
    </w:p>
    <w:p w:rsidR="007C076E" w:rsidRDefault="005E3795" w:rsidP="00D570FD">
      <w:pPr>
        <w:pStyle w:val="BodyText"/>
      </w:pPr>
      <w:r w:rsidRPr="004C16F8">
        <w:t>The latest increase in</w:t>
      </w:r>
      <w:r w:rsidR="007C076E" w:rsidRPr="004C16F8">
        <w:t xml:space="preserve"> int</w:t>
      </w:r>
      <w:r w:rsidR="00B16A9B" w:rsidRPr="004C16F8">
        <w:t>ernational student</w:t>
      </w:r>
      <w:r w:rsidRPr="004C16F8">
        <w:t xml:space="preserve"> numbers</w:t>
      </w:r>
      <w:r>
        <w:t xml:space="preserve"> was due to</w:t>
      </w:r>
      <w:r w:rsidR="00DB5BD2">
        <w:t xml:space="preserve"> </w:t>
      </w:r>
      <w:r w:rsidR="000E53FF">
        <w:t>1,400</w:t>
      </w:r>
      <w:r w:rsidR="00B16A9B">
        <w:t xml:space="preserve"> </w:t>
      </w:r>
      <w:r>
        <w:t>more</w:t>
      </w:r>
      <w:r w:rsidR="00B16A9B">
        <w:t xml:space="preserve"> </w:t>
      </w:r>
      <w:r>
        <w:t>enrolments in</w:t>
      </w:r>
      <w:r w:rsidR="007C076E">
        <w:t xml:space="preserve"> </w:t>
      </w:r>
      <w:r w:rsidR="000A72C5">
        <w:t xml:space="preserve">degree and higher </w:t>
      </w:r>
      <w:r w:rsidR="007C076E">
        <w:t>qualificatio</w:t>
      </w:r>
      <w:r>
        <w:t>n</w:t>
      </w:r>
      <w:r w:rsidR="00AD20BD">
        <w:t>s</w:t>
      </w:r>
      <w:r w:rsidR="000A72C5">
        <w:t xml:space="preserve"> </w:t>
      </w:r>
      <w:r>
        <w:t xml:space="preserve">and </w:t>
      </w:r>
      <w:r w:rsidR="000E53FF">
        <w:t xml:space="preserve">1,480 </w:t>
      </w:r>
      <w:r>
        <w:t>fewer enrolments in</w:t>
      </w:r>
      <w:r w:rsidR="007D2A79">
        <w:t xml:space="preserve"> </w:t>
      </w:r>
      <w:r w:rsidR="00B16A9B">
        <w:t>level 1 to 4 certificates and level 5 to 7 diplomas</w:t>
      </w:r>
      <w:r>
        <w:t xml:space="preserve"> (</w:t>
      </w:r>
      <w:r w:rsidR="005B67D2">
        <w:fldChar w:fldCharType="begin"/>
      </w:r>
      <w:r w:rsidR="00D15BF6">
        <w:instrText xml:space="preserve"> REF _Ref321915226 \h </w:instrText>
      </w:r>
      <w:r w:rsidR="005B67D2">
        <w:fldChar w:fldCharType="separate"/>
      </w:r>
      <w:r w:rsidR="00375A85">
        <w:t xml:space="preserve">Figure </w:t>
      </w:r>
      <w:r w:rsidR="00375A85">
        <w:rPr>
          <w:noProof/>
        </w:rPr>
        <w:t>2</w:t>
      </w:r>
      <w:r w:rsidR="00375A85">
        <w:t>.</w:t>
      </w:r>
      <w:r w:rsidR="00375A85">
        <w:rPr>
          <w:noProof/>
        </w:rPr>
        <w:t>6</w:t>
      </w:r>
      <w:r w:rsidR="005B67D2">
        <w:fldChar w:fldCharType="end"/>
      </w:r>
      <w:r w:rsidR="00D15BF6">
        <w:t>)</w:t>
      </w:r>
      <w:r w:rsidR="007C076E">
        <w:t>.</w:t>
      </w:r>
    </w:p>
    <w:p w:rsidR="007C076E" w:rsidRDefault="007C076E" w:rsidP="00D4369F">
      <w:pPr>
        <w:pStyle w:val="Caption"/>
        <w:spacing w:before="360"/>
      </w:pPr>
      <w:bookmarkStart w:id="22" w:name="_Ref321915226"/>
      <w:proofErr w:type="gramStart"/>
      <w:r>
        <w:t xml:space="preserve">Figure </w:t>
      </w:r>
      <w:r w:rsidR="005B67D2">
        <w:fldChar w:fldCharType="begin"/>
      </w:r>
      <w:r w:rsidR="00B5211F">
        <w:instrText xml:space="preserve"> STYLEREF 1 \s </w:instrText>
      </w:r>
      <w:r w:rsidR="005B67D2">
        <w:fldChar w:fldCharType="separate"/>
      </w:r>
      <w:r w:rsidR="00375A85">
        <w:rPr>
          <w:noProof/>
        </w:rPr>
        <w:t>2</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6</w:t>
      </w:r>
      <w:r w:rsidR="005B67D2">
        <w:fldChar w:fldCharType="end"/>
      </w:r>
      <w:bookmarkEnd w:id="22"/>
    </w:p>
    <w:p w:rsidR="007C076E" w:rsidRPr="007C076E" w:rsidRDefault="007C076E" w:rsidP="007C076E">
      <w:pPr>
        <w:pStyle w:val="Figurelabel"/>
      </w:pPr>
      <w:bookmarkStart w:id="23" w:name="_Toc384292892"/>
      <w:r>
        <w:t>International students in formal study by qualification level</w:t>
      </w:r>
      <w:bookmarkEnd w:id="23"/>
    </w:p>
    <w:p w:rsidR="007C076E" w:rsidRDefault="00DB15C5" w:rsidP="00C77323">
      <w:pPr>
        <w:pStyle w:val="BodyText"/>
        <w:spacing w:before="60"/>
      </w:pPr>
      <w:r w:rsidRPr="00DB15C5">
        <w:rPr>
          <w:noProof/>
          <w:lang w:eastAsia="en-NZ"/>
        </w:rPr>
        <w:drawing>
          <wp:inline distT="0" distB="0" distL="0" distR="0">
            <wp:extent cx="5400040" cy="3480026"/>
            <wp:effectExtent l="19050" t="0" r="0" b="0"/>
            <wp:docPr id="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5400040" cy="3480026"/>
                    </a:xfrm>
                    <a:prstGeom prst="rect">
                      <a:avLst/>
                    </a:prstGeom>
                    <a:noFill/>
                    <a:ln w="9525">
                      <a:noFill/>
                      <a:miter lim="800000"/>
                      <a:headEnd/>
                      <a:tailEnd/>
                    </a:ln>
                  </pic:spPr>
                </pic:pic>
              </a:graphicData>
            </a:graphic>
          </wp:inline>
        </w:drawing>
      </w:r>
    </w:p>
    <w:p w:rsidR="00D03BAC" w:rsidRDefault="00D03BAC">
      <w:pPr>
        <w:rPr>
          <w:rFonts w:ascii="Arial" w:hAnsi="Arial"/>
          <w:caps/>
          <w:sz w:val="32"/>
        </w:rPr>
      </w:pPr>
      <w:bookmarkStart w:id="24" w:name="_Toc383697357"/>
      <w:r>
        <w:br w:type="page"/>
      </w:r>
    </w:p>
    <w:p w:rsidR="00337E5E" w:rsidRDefault="00337E5E" w:rsidP="00C77323">
      <w:pPr>
        <w:pStyle w:val="Heading1"/>
        <w:spacing w:before="480"/>
      </w:pPr>
      <w:r>
        <w:lastRenderedPageBreak/>
        <w:t>Participation rate</w:t>
      </w:r>
      <w:r w:rsidR="00CD720E">
        <w:t xml:space="preserve"> </w:t>
      </w:r>
      <w:r w:rsidR="00901B41">
        <w:t>in tertiary education</w:t>
      </w:r>
      <w:bookmarkEnd w:id="24"/>
    </w:p>
    <w:p w:rsidR="00413DD0" w:rsidRDefault="00855E56" w:rsidP="009E1CAD">
      <w:pPr>
        <w:pStyle w:val="BodyText"/>
      </w:pPr>
      <w:r>
        <w:t>The particip</w:t>
      </w:r>
      <w:r w:rsidR="00AA543C">
        <w:t xml:space="preserve">ation rate </w:t>
      </w:r>
      <w:r w:rsidR="00DB2A0E">
        <w:t xml:space="preserve">in </w:t>
      </w:r>
      <w:r w:rsidR="004C5CA0">
        <w:t xml:space="preserve">provider-based </w:t>
      </w:r>
      <w:r w:rsidR="00DB2A0E">
        <w:t xml:space="preserve">tertiary education </w:t>
      </w:r>
      <w:r w:rsidR="00DB15C5">
        <w:t xml:space="preserve">remained </w:t>
      </w:r>
      <w:r w:rsidR="00D4369F">
        <w:t>stable</w:t>
      </w:r>
      <w:r w:rsidR="00DB15C5">
        <w:t xml:space="preserve"> from 2012 to 2013</w:t>
      </w:r>
      <w:r w:rsidR="00A33D71">
        <w:t xml:space="preserve">. </w:t>
      </w:r>
      <w:r w:rsidR="0080603C">
        <w:t xml:space="preserve">The rate </w:t>
      </w:r>
      <w:r w:rsidR="00845470">
        <w:t>was</w:t>
      </w:r>
      <w:r w:rsidR="00DB15C5">
        <w:t xml:space="preserve"> 10.3</w:t>
      </w:r>
      <w:r>
        <w:t xml:space="preserve"> percent</w:t>
      </w:r>
      <w:r w:rsidR="0080603C">
        <w:t xml:space="preserve"> in 2013</w:t>
      </w:r>
      <w:r w:rsidR="00DB15C5">
        <w:t>, compared to 10.5</w:t>
      </w:r>
      <w:r w:rsidR="00845470">
        <w:t xml:space="preserve"> percent in </w:t>
      </w:r>
      <w:r w:rsidR="00D605CB">
        <w:t>2012</w:t>
      </w:r>
      <w:r>
        <w:t>.</w:t>
      </w:r>
    </w:p>
    <w:p w:rsidR="00413DD0" w:rsidRDefault="00135C15" w:rsidP="00413DD0">
      <w:pPr>
        <w:pStyle w:val="BodyText"/>
      </w:pPr>
      <w:r>
        <w:t>New Zealand’s</w:t>
      </w:r>
      <w:r w:rsidR="0080603C">
        <w:t xml:space="preserve"> tertiary education</w:t>
      </w:r>
      <w:r w:rsidR="005E3795">
        <w:t xml:space="preserve"> participation rate </w:t>
      </w:r>
      <w:r w:rsidR="00D4369F">
        <w:t>had</w:t>
      </w:r>
      <w:r w:rsidR="005E3795">
        <w:t xml:space="preserve"> </w:t>
      </w:r>
      <w:r w:rsidR="0080603C">
        <w:t>been decreasing</w:t>
      </w:r>
      <w:r w:rsidR="005E3795">
        <w:t xml:space="preserve"> </w:t>
      </w:r>
      <w:r w:rsidR="0080603C">
        <w:t>from</w:t>
      </w:r>
      <w:r w:rsidR="005E3795">
        <w:t xml:space="preserve"> a high point</w:t>
      </w:r>
      <w:r w:rsidR="0080603C">
        <w:t xml:space="preserve"> in 2005 of 14 percent</w:t>
      </w:r>
      <w:r w:rsidR="00901B41">
        <w:t>.</w:t>
      </w:r>
      <w:r w:rsidR="00413DD0">
        <w:t xml:space="preserve"> </w:t>
      </w:r>
      <w:r w:rsidR="005B67D2">
        <w:fldChar w:fldCharType="begin"/>
      </w:r>
      <w:r w:rsidR="00413DD0">
        <w:instrText xml:space="preserve"> REF _Ref321925181 \h </w:instrText>
      </w:r>
      <w:r w:rsidR="005B67D2">
        <w:fldChar w:fldCharType="separate"/>
      </w:r>
      <w:r w:rsidR="00375A85">
        <w:t xml:space="preserve">Figure </w:t>
      </w:r>
      <w:r w:rsidR="00375A85">
        <w:rPr>
          <w:noProof/>
        </w:rPr>
        <w:t>3</w:t>
      </w:r>
      <w:r w:rsidR="00375A85">
        <w:t>.</w:t>
      </w:r>
      <w:r w:rsidR="00375A85">
        <w:rPr>
          <w:noProof/>
        </w:rPr>
        <w:t>1</w:t>
      </w:r>
      <w:r w:rsidR="005B67D2">
        <w:fldChar w:fldCharType="end"/>
      </w:r>
      <w:r w:rsidR="00C914CF">
        <w:t xml:space="preserve"> shows that </w:t>
      </w:r>
      <w:r w:rsidR="008522AC">
        <w:t xml:space="preserve">the </w:t>
      </w:r>
      <w:r w:rsidR="00413DD0">
        <w:t>participation rates</w:t>
      </w:r>
      <w:r w:rsidR="00E00089">
        <w:t xml:space="preserve"> have </w:t>
      </w:r>
      <w:r w:rsidR="008522AC">
        <w:t>fallen</w:t>
      </w:r>
      <w:r w:rsidR="00E00089">
        <w:t xml:space="preserve"> </w:t>
      </w:r>
      <w:r w:rsidR="008522AC">
        <w:t>in</w:t>
      </w:r>
      <w:r w:rsidR="00D03BAC">
        <w:t xml:space="preserve"> lower-level certificate study</w:t>
      </w:r>
      <w:r w:rsidR="00413DD0">
        <w:t xml:space="preserve"> </w:t>
      </w:r>
      <w:r w:rsidR="00C03859">
        <w:t xml:space="preserve">since 2005 </w:t>
      </w:r>
      <w:r w:rsidR="00413DD0">
        <w:t>and</w:t>
      </w:r>
      <w:r w:rsidR="00E00089">
        <w:t xml:space="preserve">, more recently, </w:t>
      </w:r>
      <w:r w:rsidR="008522AC">
        <w:t>in</w:t>
      </w:r>
      <w:r w:rsidR="00C03859">
        <w:t xml:space="preserve"> the study of</w:t>
      </w:r>
      <w:r w:rsidR="00E00089">
        <w:t xml:space="preserve"> </w:t>
      </w:r>
      <w:r>
        <w:t xml:space="preserve">level 4 </w:t>
      </w:r>
      <w:r w:rsidR="008522AC">
        <w:t>certificate</w:t>
      </w:r>
      <w:r w:rsidR="00C03859">
        <w:t xml:space="preserve">s </w:t>
      </w:r>
      <w:r w:rsidR="008522AC">
        <w:t>and</w:t>
      </w:r>
      <w:r>
        <w:t xml:space="preserve"> level 5 to </w:t>
      </w:r>
      <w:r w:rsidR="008522AC">
        <w:t>7</w:t>
      </w:r>
      <w:r>
        <w:t xml:space="preserve"> </w:t>
      </w:r>
      <w:r w:rsidR="00C03859">
        <w:t>diplomas</w:t>
      </w:r>
      <w:r w:rsidR="00413DD0">
        <w:t>.</w:t>
      </w:r>
    </w:p>
    <w:p w:rsidR="00413DD0" w:rsidRDefault="00E00089" w:rsidP="009E1CAD">
      <w:pPr>
        <w:pStyle w:val="BodyText"/>
      </w:pPr>
      <w:r>
        <w:t>From 2012 to 2013, there were</w:t>
      </w:r>
      <w:r w:rsidR="00FB774D">
        <w:t xml:space="preserve"> </w:t>
      </w:r>
      <w:r>
        <w:t>0.1 percentage point falls</w:t>
      </w:r>
      <w:r w:rsidR="00D74FC0">
        <w:t xml:space="preserve"> </w:t>
      </w:r>
      <w:r w:rsidR="00DB15C5">
        <w:t xml:space="preserve">in </w:t>
      </w:r>
      <w:r w:rsidR="00135C15">
        <w:t xml:space="preserve">each of </w:t>
      </w:r>
      <w:r>
        <w:t xml:space="preserve">the </w:t>
      </w:r>
      <w:r w:rsidR="00DB15C5">
        <w:t>participation</w:t>
      </w:r>
      <w:r>
        <w:t xml:space="preserve"> rate</w:t>
      </w:r>
      <w:r w:rsidR="00135C15">
        <w:t>s</w:t>
      </w:r>
      <w:r>
        <w:t xml:space="preserve"> </w:t>
      </w:r>
      <w:r w:rsidR="00C03859">
        <w:t xml:space="preserve">for </w:t>
      </w:r>
      <w:r w:rsidR="00DB15C5">
        <w:t xml:space="preserve">level </w:t>
      </w:r>
      <w:r w:rsidR="00D74FC0">
        <w:t xml:space="preserve">2 </w:t>
      </w:r>
      <w:r w:rsidR="00C03859">
        <w:t xml:space="preserve">and 4 </w:t>
      </w:r>
      <w:r w:rsidR="00413DD0">
        <w:t xml:space="preserve">certificates, </w:t>
      </w:r>
      <w:r w:rsidR="00DB15C5">
        <w:t xml:space="preserve">level 5 to 7 diplomas and </w:t>
      </w:r>
      <w:proofErr w:type="spellStart"/>
      <w:r w:rsidR="00DB15C5">
        <w:t>bachelors</w:t>
      </w:r>
      <w:proofErr w:type="spellEnd"/>
      <w:r w:rsidR="00DB15C5">
        <w:t xml:space="preserve"> degrees</w:t>
      </w:r>
      <w:r w:rsidR="00FB774D">
        <w:t>.</w:t>
      </w:r>
    </w:p>
    <w:p w:rsidR="00D74FC0" w:rsidRDefault="00EA284E" w:rsidP="009E1CAD">
      <w:pPr>
        <w:pStyle w:val="BodyText"/>
        <w:rPr>
          <w:b/>
        </w:rPr>
      </w:pPr>
      <w:r>
        <w:t xml:space="preserve">The participation rate in level 1 certificates increased from 0.3 percent in 2012 to 0.4 percent in 2013. </w:t>
      </w:r>
      <w:r w:rsidR="00C03859">
        <w:t>T</w:t>
      </w:r>
      <w:r w:rsidR="008522AC">
        <w:t>he</w:t>
      </w:r>
      <w:r w:rsidR="00A06594">
        <w:t xml:space="preserve"> participation rate </w:t>
      </w:r>
      <w:r w:rsidR="00135C15">
        <w:t xml:space="preserve">in level 1 </w:t>
      </w:r>
      <w:proofErr w:type="gramStart"/>
      <w:r w:rsidR="00135C15">
        <w:t>ce</w:t>
      </w:r>
      <w:r w:rsidR="00A54E5C">
        <w:t>rtificates</w:t>
      </w:r>
      <w:proofErr w:type="gramEnd"/>
      <w:r w:rsidR="00A54E5C">
        <w:t xml:space="preserve"> had</w:t>
      </w:r>
      <w:r w:rsidR="008522AC">
        <w:t xml:space="preserve"> been</w:t>
      </w:r>
      <w:r w:rsidR="00E00089">
        <w:t xml:space="preserve"> </w:t>
      </w:r>
      <w:r w:rsidR="00135C15">
        <w:t>stable</w:t>
      </w:r>
      <w:r w:rsidR="00C03859">
        <w:t xml:space="preserve">, at 0.3 percent, </w:t>
      </w:r>
      <w:r w:rsidR="00135C15">
        <w:t>since 2009</w:t>
      </w:r>
      <w:r w:rsidR="00C03859">
        <w:t xml:space="preserve">. </w:t>
      </w:r>
      <w:r w:rsidR="000E53FF">
        <w:t>Before this</w:t>
      </w:r>
      <w:r w:rsidR="00C03859">
        <w:t xml:space="preserve">, the participation rate in level 1 </w:t>
      </w:r>
      <w:proofErr w:type="gramStart"/>
      <w:r w:rsidR="00C03859">
        <w:t>certificates</w:t>
      </w:r>
      <w:proofErr w:type="gramEnd"/>
      <w:r w:rsidR="00C03859">
        <w:t xml:space="preserve"> </w:t>
      </w:r>
      <w:r w:rsidR="000E53FF">
        <w:t xml:space="preserve">had </w:t>
      </w:r>
      <w:r w:rsidR="00C03859">
        <w:t>decreased</w:t>
      </w:r>
      <w:r w:rsidR="00A54E5C">
        <w:t xml:space="preserve"> from a high point of 1.5 percent</w:t>
      </w:r>
      <w:r w:rsidR="000E53FF">
        <w:t xml:space="preserve"> in 2004</w:t>
      </w:r>
      <w:r w:rsidR="00A54E5C">
        <w:t>.</w:t>
      </w:r>
    </w:p>
    <w:p w:rsidR="00D74FC0" w:rsidRPr="00D74FC0" w:rsidRDefault="009176C4" w:rsidP="009E1CAD">
      <w:pPr>
        <w:pStyle w:val="BodyText"/>
      </w:pPr>
      <w:r>
        <w:t>I</w:t>
      </w:r>
      <w:r w:rsidR="00413DD0">
        <w:t>n</w:t>
      </w:r>
      <w:r w:rsidR="00D74FC0">
        <w:t xml:space="preserve"> all</w:t>
      </w:r>
      <w:r w:rsidR="00413DD0">
        <w:t xml:space="preserve"> levels of postgraduate study</w:t>
      </w:r>
      <w:r w:rsidR="00C03859">
        <w:t>,</w:t>
      </w:r>
      <w:r w:rsidR="00413DD0">
        <w:t xml:space="preserve"> and also in gra</w:t>
      </w:r>
      <w:r>
        <w:t>duate certificates and diplomas, the participation rate remained stable from 2012 to 2013.</w:t>
      </w:r>
    </w:p>
    <w:p w:rsidR="00C03859" w:rsidRDefault="009176C4" w:rsidP="00C03859">
      <w:pPr>
        <w:pStyle w:val="BodyText"/>
        <w:spacing w:after="0"/>
      </w:pPr>
      <w:r>
        <w:t>In 2013, t</w:t>
      </w:r>
      <w:r w:rsidR="00C914CF">
        <w:t xml:space="preserve">he tertiary education </w:t>
      </w:r>
      <w:r w:rsidR="00CD50FA" w:rsidRPr="00EA284E">
        <w:t xml:space="preserve">participation </w:t>
      </w:r>
      <w:r w:rsidR="003B4A96" w:rsidRPr="00EA284E">
        <w:t>rate</w:t>
      </w:r>
      <w:r w:rsidR="00C914CF">
        <w:t>s of New Zealanders by qua</w:t>
      </w:r>
      <w:r>
        <w:t>lification level were</w:t>
      </w:r>
      <w:r w:rsidR="00C914CF">
        <w:t>:</w:t>
      </w:r>
    </w:p>
    <w:p w:rsidR="00C03859" w:rsidRDefault="00C914CF" w:rsidP="00C03859">
      <w:pPr>
        <w:pStyle w:val="BodyText"/>
        <w:numPr>
          <w:ilvl w:val="0"/>
          <w:numId w:val="5"/>
        </w:numPr>
        <w:spacing w:after="0"/>
      </w:pPr>
      <w:r>
        <w:t xml:space="preserve">3.6 percent in </w:t>
      </w:r>
      <w:proofErr w:type="spellStart"/>
      <w:r>
        <w:t>bachelors</w:t>
      </w:r>
      <w:proofErr w:type="spellEnd"/>
      <w:r>
        <w:t xml:space="preserve"> degrees</w:t>
      </w:r>
    </w:p>
    <w:p w:rsidR="00C03859" w:rsidRDefault="00EA284E" w:rsidP="00C03859">
      <w:pPr>
        <w:pStyle w:val="BodyText"/>
        <w:numPr>
          <w:ilvl w:val="0"/>
          <w:numId w:val="5"/>
        </w:numPr>
        <w:spacing w:after="0"/>
      </w:pPr>
      <w:r>
        <w:t>1.6 percent</w:t>
      </w:r>
      <w:r w:rsidR="00C914CF">
        <w:t xml:space="preserve"> each in level 3 and 4 certificates</w:t>
      </w:r>
    </w:p>
    <w:p w:rsidR="00C03859" w:rsidRDefault="00C914CF" w:rsidP="00C03859">
      <w:pPr>
        <w:pStyle w:val="BodyText"/>
        <w:numPr>
          <w:ilvl w:val="0"/>
          <w:numId w:val="5"/>
        </w:numPr>
        <w:spacing w:after="0"/>
      </w:pPr>
      <w:r>
        <w:t>1.5 percent in level 5 to 7 diplomas</w:t>
      </w:r>
    </w:p>
    <w:p w:rsidR="00C03859" w:rsidRDefault="00C914CF" w:rsidP="00C03859">
      <w:pPr>
        <w:pStyle w:val="BodyText"/>
        <w:numPr>
          <w:ilvl w:val="0"/>
          <w:numId w:val="5"/>
        </w:numPr>
        <w:spacing w:after="0"/>
      </w:pPr>
      <w:r>
        <w:t>1.2 percent in level 2 certificates</w:t>
      </w:r>
    </w:p>
    <w:p w:rsidR="00C03859" w:rsidRDefault="00C914CF" w:rsidP="00C03859">
      <w:pPr>
        <w:pStyle w:val="BodyText"/>
        <w:numPr>
          <w:ilvl w:val="0"/>
          <w:numId w:val="5"/>
        </w:numPr>
        <w:spacing w:after="0"/>
      </w:pPr>
      <w:r>
        <w:t xml:space="preserve">0.7 percent in </w:t>
      </w:r>
      <w:r w:rsidR="001C60E7">
        <w:t>honours</w:t>
      </w:r>
    </w:p>
    <w:p w:rsidR="00C03859" w:rsidRDefault="00C914CF" w:rsidP="00C03859">
      <w:pPr>
        <w:pStyle w:val="BodyText"/>
        <w:numPr>
          <w:ilvl w:val="0"/>
          <w:numId w:val="5"/>
        </w:numPr>
        <w:spacing w:after="0"/>
      </w:pPr>
      <w:r>
        <w:t>0.3 percent each in graduate certificates/diplomas and masters degrees, and</w:t>
      </w:r>
    </w:p>
    <w:p w:rsidR="00FC60C8" w:rsidRDefault="00C914CF" w:rsidP="00C03859">
      <w:pPr>
        <w:pStyle w:val="BodyText"/>
        <w:numPr>
          <w:ilvl w:val="0"/>
          <w:numId w:val="5"/>
        </w:numPr>
        <w:spacing w:after="0"/>
      </w:pPr>
      <w:r>
        <w:t>0.1 percent in doctoral degrees</w:t>
      </w:r>
      <w:r w:rsidR="00EA284E">
        <w:t>.</w:t>
      </w:r>
    </w:p>
    <w:p w:rsidR="00C45324" w:rsidRDefault="00C45324" w:rsidP="00B01BCB">
      <w:pPr>
        <w:pStyle w:val="Caption"/>
        <w:spacing w:before="240"/>
      </w:pPr>
      <w:bookmarkStart w:id="25" w:name="_Ref321925181"/>
      <w:proofErr w:type="gramStart"/>
      <w:r>
        <w:t xml:space="preserve">Figure </w:t>
      </w:r>
      <w:r w:rsidR="005B67D2">
        <w:fldChar w:fldCharType="begin"/>
      </w:r>
      <w:r w:rsidR="00B5211F">
        <w:instrText xml:space="preserve"> STYLEREF 1 \s </w:instrText>
      </w:r>
      <w:r w:rsidR="005B67D2">
        <w:fldChar w:fldCharType="separate"/>
      </w:r>
      <w:r w:rsidR="00375A85">
        <w:rPr>
          <w:noProof/>
        </w:rPr>
        <w:t>3</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1</w:t>
      </w:r>
      <w:r w:rsidR="005B67D2">
        <w:fldChar w:fldCharType="end"/>
      </w:r>
      <w:bookmarkEnd w:id="25"/>
    </w:p>
    <w:p w:rsidR="00C45324" w:rsidRPr="00C45324" w:rsidRDefault="00C45324" w:rsidP="00C45324">
      <w:pPr>
        <w:pStyle w:val="Figurelabel"/>
      </w:pPr>
      <w:bookmarkStart w:id="26" w:name="_Toc384292893"/>
      <w:r>
        <w:t>Participat</w:t>
      </w:r>
      <w:r w:rsidR="00901B41">
        <w:t>ion rates in tertiary education</w:t>
      </w:r>
      <w:r>
        <w:t xml:space="preserve"> for the population aged 15 years an</w:t>
      </w:r>
      <w:r w:rsidR="00901B41">
        <w:t>d over</w:t>
      </w:r>
      <w:r>
        <w:t xml:space="preserve"> by qualification level</w:t>
      </w:r>
      <w:bookmarkEnd w:id="26"/>
    </w:p>
    <w:p w:rsidR="00C45324" w:rsidRPr="00337E5E" w:rsidRDefault="00C82FB3" w:rsidP="00337E5E">
      <w:pPr>
        <w:pStyle w:val="BodyText"/>
      </w:pPr>
      <w:r w:rsidRPr="00C82FB3">
        <w:rPr>
          <w:noProof/>
          <w:lang w:eastAsia="en-NZ"/>
        </w:rPr>
        <w:drawing>
          <wp:inline distT="0" distB="0" distL="0" distR="0">
            <wp:extent cx="5400040" cy="3275898"/>
            <wp:effectExtent l="1905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400040" cy="3275898"/>
                    </a:xfrm>
                    <a:prstGeom prst="rect">
                      <a:avLst/>
                    </a:prstGeom>
                    <a:noFill/>
                    <a:ln w="9525">
                      <a:noFill/>
                      <a:miter lim="800000"/>
                      <a:headEnd/>
                      <a:tailEnd/>
                    </a:ln>
                  </pic:spPr>
                </pic:pic>
              </a:graphicData>
            </a:graphic>
          </wp:inline>
        </w:drawing>
      </w:r>
    </w:p>
    <w:p w:rsidR="0038704F" w:rsidRDefault="00531F9F" w:rsidP="00B01BCB">
      <w:pPr>
        <w:pStyle w:val="Heading4"/>
      </w:pPr>
      <w:r>
        <w:lastRenderedPageBreak/>
        <w:t>People</w:t>
      </w:r>
      <w:r w:rsidR="0038704F">
        <w:t xml:space="preserve"> aged </w:t>
      </w:r>
      <w:r w:rsidR="003B3E43">
        <w:t xml:space="preserve">18 to </w:t>
      </w:r>
      <w:r w:rsidR="0038704F">
        <w:t xml:space="preserve">24 years </w:t>
      </w:r>
      <w:r>
        <w:t>in tertiary education</w:t>
      </w:r>
    </w:p>
    <w:p w:rsidR="006A66EB" w:rsidRDefault="00352F32" w:rsidP="009176C4">
      <w:pPr>
        <w:pStyle w:val="BodyText"/>
        <w:spacing w:before="60" w:after="120"/>
      </w:pPr>
      <w:r>
        <w:t xml:space="preserve">The participation rate of </w:t>
      </w:r>
      <w:r w:rsidR="00CA2E92">
        <w:t>New Zealanders aged 18 to 24 years</w:t>
      </w:r>
      <w:r>
        <w:t xml:space="preserve"> in all leve</w:t>
      </w:r>
      <w:r w:rsidR="00A72649">
        <w:t>ls of tertiary education was 36</w:t>
      </w:r>
      <w:r>
        <w:t xml:space="preserve"> percent in </w:t>
      </w:r>
      <w:r w:rsidR="00D605CB">
        <w:t>2013</w:t>
      </w:r>
      <w:r w:rsidR="00A72649">
        <w:t>, down from a high point of 38 percent</w:t>
      </w:r>
      <w:r w:rsidR="006A66EB">
        <w:t xml:space="preserve"> in 2009 and 2010.</w:t>
      </w:r>
    </w:p>
    <w:p w:rsidR="009176C4" w:rsidRDefault="00A54E5C" w:rsidP="009176C4">
      <w:pPr>
        <w:pStyle w:val="BodyText"/>
      </w:pPr>
      <w:r>
        <w:t>T</w:t>
      </w:r>
      <w:r w:rsidR="009176C4">
        <w:t xml:space="preserve">he participation rate </w:t>
      </w:r>
      <w:r>
        <w:t>in bachelors-level study by</w:t>
      </w:r>
      <w:r w:rsidR="009176C4">
        <w:t xml:space="preserve"> </w:t>
      </w:r>
      <w:r>
        <w:t>people aged 18 to 24 year</w:t>
      </w:r>
      <w:r w:rsidR="009176C4">
        <w:t>s has increased by 0.7 percentage points</w:t>
      </w:r>
      <w:r>
        <w:t xml:space="preserve"> from 2009 to 2013</w:t>
      </w:r>
      <w:r w:rsidR="009176C4">
        <w:t xml:space="preserve"> to a high point of 20 percent. The rate of participation by </w:t>
      </w:r>
      <w:r>
        <w:t>this group</w:t>
      </w:r>
      <w:r w:rsidR="009176C4">
        <w:t xml:space="preserve"> in postgraduate study has remained stable since 2009, at 3.2 percent, while the</w:t>
      </w:r>
      <w:r>
        <w:t>ir participation</w:t>
      </w:r>
      <w:r w:rsidR="009176C4">
        <w:t xml:space="preserve"> rate in non-degree study has fallen from 17 percent in 2009 to 14 percent in 2013.</w:t>
      </w:r>
    </w:p>
    <w:p w:rsidR="00352F32" w:rsidRDefault="00EA258C" w:rsidP="00B01BCB">
      <w:pPr>
        <w:pStyle w:val="BodyText"/>
        <w:spacing w:after="0"/>
      </w:pPr>
      <w:bookmarkStart w:id="27" w:name="_Ref321927124"/>
      <w:proofErr w:type="gramStart"/>
      <w:r w:rsidRPr="00EA258C">
        <w:rPr>
          <w:rFonts w:ascii="Arial" w:hAnsi="Arial" w:cs="Arial"/>
          <w:b/>
          <w:bCs/>
          <w:sz w:val="15"/>
        </w:rPr>
        <w:t xml:space="preserve">Figure </w:t>
      </w:r>
      <w:r w:rsidR="005B67D2">
        <w:rPr>
          <w:rFonts w:ascii="Arial" w:hAnsi="Arial" w:cs="Arial"/>
          <w:b/>
          <w:bCs/>
          <w:sz w:val="15"/>
        </w:rPr>
        <w:fldChar w:fldCharType="begin"/>
      </w:r>
      <w:r w:rsidR="00531D62">
        <w:rPr>
          <w:rFonts w:ascii="Arial" w:hAnsi="Arial" w:cs="Arial"/>
          <w:b/>
          <w:bCs/>
          <w:sz w:val="15"/>
        </w:rPr>
        <w:instrText xml:space="preserve"> STYLEREF 1 \s </w:instrText>
      </w:r>
      <w:r w:rsidR="005B67D2">
        <w:rPr>
          <w:rFonts w:ascii="Arial" w:hAnsi="Arial" w:cs="Arial"/>
          <w:b/>
          <w:bCs/>
          <w:sz w:val="15"/>
        </w:rPr>
        <w:fldChar w:fldCharType="separate"/>
      </w:r>
      <w:r w:rsidR="00375A85">
        <w:rPr>
          <w:rFonts w:ascii="Arial" w:hAnsi="Arial" w:cs="Arial"/>
          <w:b/>
          <w:bCs/>
          <w:noProof/>
          <w:sz w:val="15"/>
        </w:rPr>
        <w:t>3</w:t>
      </w:r>
      <w:r w:rsidR="005B67D2">
        <w:rPr>
          <w:rFonts w:ascii="Arial" w:hAnsi="Arial" w:cs="Arial"/>
          <w:b/>
          <w:bCs/>
          <w:sz w:val="15"/>
        </w:rPr>
        <w:fldChar w:fldCharType="end"/>
      </w:r>
      <w:r w:rsidR="00531D62">
        <w:rPr>
          <w:rFonts w:ascii="Arial" w:hAnsi="Arial" w:cs="Arial"/>
          <w:b/>
          <w:bCs/>
          <w:sz w:val="15"/>
        </w:rPr>
        <w:t>.</w:t>
      </w:r>
      <w:proofErr w:type="gramEnd"/>
      <w:r w:rsidR="005B67D2">
        <w:rPr>
          <w:rFonts w:ascii="Arial" w:hAnsi="Arial" w:cs="Arial"/>
          <w:b/>
          <w:bCs/>
          <w:sz w:val="15"/>
        </w:rPr>
        <w:fldChar w:fldCharType="begin"/>
      </w:r>
      <w:r w:rsidR="00531D62">
        <w:rPr>
          <w:rFonts w:ascii="Arial" w:hAnsi="Arial" w:cs="Arial"/>
          <w:b/>
          <w:bCs/>
          <w:sz w:val="15"/>
        </w:rPr>
        <w:instrText xml:space="preserve"> SEQ Figure \* ARABIC \s 1 </w:instrText>
      </w:r>
      <w:r w:rsidR="005B67D2">
        <w:rPr>
          <w:rFonts w:ascii="Arial" w:hAnsi="Arial" w:cs="Arial"/>
          <w:b/>
          <w:bCs/>
          <w:sz w:val="15"/>
        </w:rPr>
        <w:fldChar w:fldCharType="separate"/>
      </w:r>
      <w:r w:rsidR="00375A85">
        <w:rPr>
          <w:rFonts w:ascii="Arial" w:hAnsi="Arial" w:cs="Arial"/>
          <w:b/>
          <w:bCs/>
          <w:noProof/>
          <w:sz w:val="15"/>
        </w:rPr>
        <w:t>2</w:t>
      </w:r>
      <w:r w:rsidR="005B67D2">
        <w:rPr>
          <w:rFonts w:ascii="Arial" w:hAnsi="Arial" w:cs="Arial"/>
          <w:b/>
          <w:bCs/>
          <w:sz w:val="15"/>
        </w:rPr>
        <w:fldChar w:fldCharType="end"/>
      </w:r>
      <w:bookmarkEnd w:id="27"/>
    </w:p>
    <w:p w:rsidR="00EA258C" w:rsidRPr="00C45324" w:rsidRDefault="00EA258C" w:rsidP="00EA258C">
      <w:pPr>
        <w:pStyle w:val="Figurelabel"/>
      </w:pPr>
      <w:bookmarkStart w:id="28" w:name="_Toc384292894"/>
      <w:r>
        <w:t>Participat</w:t>
      </w:r>
      <w:r w:rsidR="00AD20BD">
        <w:t>ion rates in tertiary education</w:t>
      </w:r>
      <w:r>
        <w:t xml:space="preserve"> for the population aged </w:t>
      </w:r>
      <w:r w:rsidR="002B79CB">
        <w:t xml:space="preserve">18 to </w:t>
      </w:r>
      <w:r>
        <w:t>24 year</w:t>
      </w:r>
      <w:r w:rsidR="00AD20BD">
        <w:t xml:space="preserve">s </w:t>
      </w:r>
      <w:r>
        <w:t>by qualification level</w:t>
      </w:r>
      <w:bookmarkEnd w:id="28"/>
    </w:p>
    <w:p w:rsidR="00EA258C" w:rsidRDefault="00C82FB3" w:rsidP="00EA258C">
      <w:r w:rsidRPr="00C82FB3">
        <w:rPr>
          <w:noProof/>
          <w:lang w:eastAsia="en-NZ"/>
        </w:rPr>
        <w:drawing>
          <wp:inline distT="0" distB="0" distL="0" distR="0">
            <wp:extent cx="5400040" cy="3275898"/>
            <wp:effectExtent l="1905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5400040" cy="3275898"/>
                    </a:xfrm>
                    <a:prstGeom prst="rect">
                      <a:avLst/>
                    </a:prstGeom>
                    <a:noFill/>
                    <a:ln w="9525">
                      <a:noFill/>
                      <a:miter lim="800000"/>
                      <a:headEnd/>
                      <a:tailEnd/>
                    </a:ln>
                  </pic:spPr>
                </pic:pic>
              </a:graphicData>
            </a:graphic>
          </wp:inline>
        </w:drawing>
      </w:r>
    </w:p>
    <w:p w:rsidR="00531F9F" w:rsidRDefault="00531F9F" w:rsidP="009E703A">
      <w:pPr>
        <w:pStyle w:val="Heading4"/>
        <w:spacing w:before="360"/>
      </w:pPr>
      <w:r>
        <w:t>People aged 25 years and over in tertiary education</w:t>
      </w:r>
    </w:p>
    <w:p w:rsidR="007E2228" w:rsidRDefault="00783A97" w:rsidP="00531F9F">
      <w:pPr>
        <w:pStyle w:val="BodyText"/>
      </w:pPr>
      <w:r>
        <w:t>The participation rat</w:t>
      </w:r>
      <w:r w:rsidR="00A95BC0">
        <w:t xml:space="preserve">e of </w:t>
      </w:r>
      <w:r w:rsidR="00CA2E92">
        <w:t xml:space="preserve">New Zealanders </w:t>
      </w:r>
      <w:r w:rsidR="00A95BC0">
        <w:t>aged 25</w:t>
      </w:r>
      <w:r>
        <w:t xml:space="preserve"> years and </w:t>
      </w:r>
      <w:r w:rsidR="00A95BC0">
        <w:t>over</w:t>
      </w:r>
      <w:r>
        <w:t>, in tertiary education</w:t>
      </w:r>
      <w:r w:rsidR="00FB4B5B">
        <w:t>,</w:t>
      </w:r>
      <w:r w:rsidR="00531F9F">
        <w:t xml:space="preserve"> </w:t>
      </w:r>
      <w:r w:rsidR="0096221D">
        <w:t>continued to decrease</w:t>
      </w:r>
      <w:r w:rsidR="00531F9F">
        <w:t xml:space="preserve"> </w:t>
      </w:r>
      <w:r w:rsidR="0096221D">
        <w:t>in</w:t>
      </w:r>
      <w:r w:rsidR="00531F9F">
        <w:t xml:space="preserve"> </w:t>
      </w:r>
      <w:r w:rsidR="00D605CB">
        <w:t>2013</w:t>
      </w:r>
      <w:r w:rsidR="00531F9F">
        <w:t>. The rate</w:t>
      </w:r>
      <w:r>
        <w:t xml:space="preserve"> was </w:t>
      </w:r>
      <w:r w:rsidR="007E2228">
        <w:t>6.2</w:t>
      </w:r>
      <w:r>
        <w:t xml:space="preserve"> percent in </w:t>
      </w:r>
      <w:r w:rsidR="00D605CB">
        <w:t>2013</w:t>
      </w:r>
      <w:r>
        <w:t xml:space="preserve">, </w:t>
      </w:r>
      <w:r w:rsidR="007E2228">
        <w:t>compared to 6.6</w:t>
      </w:r>
      <w:r w:rsidR="00FB4B5B">
        <w:t xml:space="preserve"> percent in </w:t>
      </w:r>
      <w:r w:rsidR="00D605CB">
        <w:t>2012</w:t>
      </w:r>
      <w:r w:rsidR="007E2228">
        <w:t>.</w:t>
      </w:r>
    </w:p>
    <w:p w:rsidR="00964492" w:rsidRDefault="00492C7D" w:rsidP="00531F9F">
      <w:pPr>
        <w:pStyle w:val="BodyText"/>
      </w:pPr>
      <w:r>
        <w:t>T</w:t>
      </w:r>
      <w:r w:rsidR="00FB4B5B">
        <w:t>he</w:t>
      </w:r>
      <w:r w:rsidR="00783A97">
        <w:t xml:space="preserve"> decline </w:t>
      </w:r>
      <w:r w:rsidR="00FB4B5B">
        <w:t>in the tertiary</w:t>
      </w:r>
      <w:r w:rsidR="000E4534">
        <w:t xml:space="preserve"> education participation rate </w:t>
      </w:r>
      <w:r w:rsidR="00A54E5C">
        <w:t>for people</w:t>
      </w:r>
      <w:r w:rsidR="00CA2E92">
        <w:t xml:space="preserve"> aged 25 year</w:t>
      </w:r>
      <w:r w:rsidR="00FB4B5B">
        <w:t xml:space="preserve">s </w:t>
      </w:r>
      <w:r w:rsidR="00CA2E92">
        <w:t xml:space="preserve">and over </w:t>
      </w:r>
      <w:r w:rsidR="00783A97">
        <w:t xml:space="preserve">was due to </w:t>
      </w:r>
      <w:r w:rsidR="0096221D">
        <w:t xml:space="preserve">decreases </w:t>
      </w:r>
      <w:r w:rsidR="00783A97">
        <w:t xml:space="preserve">in </w:t>
      </w:r>
      <w:r w:rsidR="00CA2E92">
        <w:t xml:space="preserve">all </w:t>
      </w:r>
      <w:r w:rsidR="0096221D">
        <w:t>level</w:t>
      </w:r>
      <w:r w:rsidR="00CA2E92">
        <w:t>s of</w:t>
      </w:r>
      <w:r w:rsidR="0096221D">
        <w:t xml:space="preserve"> </w:t>
      </w:r>
      <w:r w:rsidR="00783A97">
        <w:t>study</w:t>
      </w:r>
      <w:r w:rsidR="00FB4B5B">
        <w:t>.</w:t>
      </w:r>
      <w:r>
        <w:t xml:space="preserve">  </w:t>
      </w:r>
      <w:r w:rsidR="00FB4B5B">
        <w:t xml:space="preserve">In </w:t>
      </w:r>
      <w:r w:rsidR="00D605CB">
        <w:t>2013</w:t>
      </w:r>
      <w:r w:rsidR="00FB4B5B">
        <w:t xml:space="preserve">, the participation rate of people aged 25 years and </w:t>
      </w:r>
      <w:r w:rsidR="0096221D">
        <w:t>ov</w:t>
      </w:r>
      <w:r w:rsidR="000E53FF">
        <w:t>er in non-degree study was 4.0 percent, compared to 4.2</w:t>
      </w:r>
      <w:r w:rsidR="00FB4B5B">
        <w:t xml:space="preserve"> percent in </w:t>
      </w:r>
      <w:r w:rsidR="00D605CB">
        <w:t>2012</w:t>
      </w:r>
      <w:r w:rsidR="00AA25C0">
        <w:t xml:space="preserve">. </w:t>
      </w:r>
      <w:r w:rsidR="004C5CA0">
        <w:t>The participation rate</w:t>
      </w:r>
      <w:r w:rsidR="00AA25C0">
        <w:t xml:space="preserve"> in</w:t>
      </w:r>
      <w:r w:rsidR="00A95BC0">
        <w:t xml:space="preserve"> </w:t>
      </w:r>
      <w:r w:rsidR="00AA25C0">
        <w:t>degree and higher qualification</w:t>
      </w:r>
      <w:r w:rsidR="00A95BC0">
        <w:t xml:space="preserve">s </w:t>
      </w:r>
      <w:r w:rsidR="00A54E5C">
        <w:t>by this age group-</w:t>
      </w:r>
      <w:r w:rsidR="00A95BC0">
        <w:t xml:space="preserve"> </w:t>
      </w:r>
      <w:r w:rsidR="00AA25C0">
        <w:t>was</w:t>
      </w:r>
      <w:r w:rsidR="000E53FF">
        <w:t xml:space="preserve"> 2.4</w:t>
      </w:r>
      <w:r w:rsidR="00FB4B5B">
        <w:t xml:space="preserve"> percent</w:t>
      </w:r>
      <w:r w:rsidR="00AA25C0">
        <w:t xml:space="preserve"> in </w:t>
      </w:r>
      <w:r w:rsidR="00D605CB">
        <w:t>2013</w:t>
      </w:r>
      <w:r w:rsidR="000E53FF">
        <w:t>, compared to 2.5</w:t>
      </w:r>
      <w:r w:rsidR="0096221D">
        <w:t xml:space="preserve"> percent in </w:t>
      </w:r>
      <w:r w:rsidR="00D605CB">
        <w:t>2012</w:t>
      </w:r>
      <w:r w:rsidR="00A95BC0">
        <w:t>.</w:t>
      </w:r>
    </w:p>
    <w:p w:rsidR="00783A97" w:rsidRDefault="00783A97" w:rsidP="00A95BC0">
      <w:pPr>
        <w:pStyle w:val="Caption"/>
        <w:spacing w:before="240"/>
      </w:pPr>
      <w:bookmarkStart w:id="29" w:name="_Ref321989198"/>
      <w:proofErr w:type="gramStart"/>
      <w:r>
        <w:lastRenderedPageBreak/>
        <w:t xml:space="preserve">Figure </w:t>
      </w:r>
      <w:r w:rsidR="005B67D2">
        <w:fldChar w:fldCharType="begin"/>
      </w:r>
      <w:r w:rsidR="00B5211F">
        <w:instrText xml:space="preserve"> STYLEREF 1 \s </w:instrText>
      </w:r>
      <w:r w:rsidR="005B67D2">
        <w:fldChar w:fldCharType="separate"/>
      </w:r>
      <w:r w:rsidR="00375A85">
        <w:rPr>
          <w:noProof/>
        </w:rPr>
        <w:t>3</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3</w:t>
      </w:r>
      <w:r w:rsidR="005B67D2">
        <w:fldChar w:fldCharType="end"/>
      </w:r>
      <w:bookmarkEnd w:id="29"/>
    </w:p>
    <w:p w:rsidR="00A95BC0" w:rsidRDefault="00A95BC0" w:rsidP="00A95BC0">
      <w:pPr>
        <w:pStyle w:val="Figurelabel"/>
      </w:pPr>
      <w:bookmarkStart w:id="30" w:name="_Toc384292895"/>
      <w:r>
        <w:t>Participation rates in tertiary education for the po</w:t>
      </w:r>
      <w:r w:rsidR="000E4534">
        <w:t xml:space="preserve">pulation aged 25 years and over </w:t>
      </w:r>
      <w:r>
        <w:t>by qualification level</w:t>
      </w:r>
      <w:bookmarkEnd w:id="30"/>
    </w:p>
    <w:p w:rsidR="00492C7D" w:rsidRDefault="00C82FB3" w:rsidP="00492C7D">
      <w:pPr>
        <w:pStyle w:val="BodyText"/>
      </w:pPr>
      <w:r w:rsidRPr="00C82FB3">
        <w:rPr>
          <w:noProof/>
          <w:lang w:eastAsia="en-NZ"/>
        </w:rPr>
        <w:drawing>
          <wp:inline distT="0" distB="0" distL="0" distR="0">
            <wp:extent cx="5400040" cy="3275898"/>
            <wp:effectExtent l="1905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400040" cy="3275898"/>
                    </a:xfrm>
                    <a:prstGeom prst="rect">
                      <a:avLst/>
                    </a:prstGeom>
                    <a:noFill/>
                    <a:ln w="9525">
                      <a:noFill/>
                      <a:miter lim="800000"/>
                      <a:headEnd/>
                      <a:tailEnd/>
                    </a:ln>
                  </pic:spPr>
                </pic:pic>
              </a:graphicData>
            </a:graphic>
          </wp:inline>
        </w:drawing>
      </w:r>
    </w:p>
    <w:p w:rsidR="008F1A8B" w:rsidRDefault="00A54E5C" w:rsidP="00872FCF">
      <w:pPr>
        <w:pStyle w:val="Heading4"/>
      </w:pPr>
      <w:r>
        <w:t>Age-standardised p</w:t>
      </w:r>
      <w:r w:rsidR="00872FCF" w:rsidRPr="00872FCF">
        <w:t>articipation</w:t>
      </w:r>
      <w:r w:rsidR="00A7607D">
        <w:t xml:space="preserve"> </w:t>
      </w:r>
      <w:r w:rsidR="00972D76">
        <w:t xml:space="preserve">rates </w:t>
      </w:r>
      <w:r w:rsidR="00705CDC">
        <w:t>by gender</w:t>
      </w:r>
      <w:r>
        <w:rPr>
          <w:rStyle w:val="FootnoteReference"/>
        </w:rPr>
        <w:footnoteReference w:id="7"/>
      </w:r>
    </w:p>
    <w:p w:rsidR="00872FCF" w:rsidRDefault="00872FCF" w:rsidP="003B7D3D">
      <w:pPr>
        <w:pStyle w:val="BodyText"/>
        <w:spacing w:before="60"/>
      </w:pPr>
      <w:r>
        <w:t>Women participate in tertiary educa</w:t>
      </w:r>
      <w:r w:rsidR="00705CDC">
        <w:t>tion at a higher rate than men.</w:t>
      </w:r>
      <w:r>
        <w:t xml:space="preserve"> In </w:t>
      </w:r>
      <w:r w:rsidR="00D605CB">
        <w:t>2013</w:t>
      </w:r>
      <w:r>
        <w:t>, the total parti</w:t>
      </w:r>
      <w:r w:rsidR="00AD2E21">
        <w:t>cipation rate for women was 12</w:t>
      </w:r>
      <w:r w:rsidR="003B7D3D">
        <w:t xml:space="preserve"> percent, compared to 8.7</w:t>
      </w:r>
      <w:r w:rsidR="009E703A">
        <w:t xml:space="preserve"> percent for men. </w:t>
      </w:r>
      <w:r>
        <w:t xml:space="preserve">The rate for </w:t>
      </w:r>
      <w:r w:rsidR="003B7D3D">
        <w:t>w</w:t>
      </w:r>
      <w:r w:rsidR="00540389">
        <w:t xml:space="preserve">omen is higher than for men </w:t>
      </w:r>
      <w:r w:rsidR="003B7D3D">
        <w:t xml:space="preserve">at every </w:t>
      </w:r>
      <w:r>
        <w:t>qualification level</w:t>
      </w:r>
      <w:r w:rsidR="009E703A">
        <w:t>,</w:t>
      </w:r>
      <w:r>
        <w:t xml:space="preserve"> with the largest difference </w:t>
      </w:r>
      <w:r w:rsidR="008135D5">
        <w:t>at</w:t>
      </w:r>
      <w:r w:rsidR="00F757D6">
        <w:t xml:space="preserve"> </w:t>
      </w:r>
      <w:proofErr w:type="gramStart"/>
      <w:r w:rsidR="00F757D6">
        <w:t>bachelors</w:t>
      </w:r>
      <w:proofErr w:type="gramEnd"/>
      <w:r w:rsidR="00F757D6">
        <w:t xml:space="preserve"> </w:t>
      </w:r>
      <w:r w:rsidR="008135D5">
        <w:t>level</w:t>
      </w:r>
      <w:r w:rsidR="009E703A">
        <w:t xml:space="preserve">. </w:t>
      </w:r>
      <w:r w:rsidR="00AD20BD">
        <w:t xml:space="preserve">Of the population aged 15 years and over, </w:t>
      </w:r>
      <w:r>
        <w:t>4.</w:t>
      </w:r>
      <w:r w:rsidR="00453331">
        <w:t>9</w:t>
      </w:r>
      <w:r>
        <w:t xml:space="preserve"> percent of women </w:t>
      </w:r>
      <w:r w:rsidR="00A7607D">
        <w:t>participated in bachelors-</w:t>
      </w:r>
      <w:r w:rsidR="000E53FF">
        <w:t>level</w:t>
      </w:r>
      <w:r w:rsidR="00A7607D">
        <w:t xml:space="preserve"> study</w:t>
      </w:r>
      <w:r w:rsidR="00AD20BD">
        <w:t xml:space="preserve"> in </w:t>
      </w:r>
      <w:r w:rsidR="00D605CB">
        <w:t>2013</w:t>
      </w:r>
      <w:r w:rsidR="00453331">
        <w:t>, compared to 3.0</w:t>
      </w:r>
      <w:r w:rsidR="00A7607D">
        <w:t xml:space="preserve"> percent of men.</w:t>
      </w:r>
    </w:p>
    <w:p w:rsidR="00522757" w:rsidRDefault="00972D76" w:rsidP="009E1CAD">
      <w:pPr>
        <w:pStyle w:val="BodyText"/>
      </w:pPr>
      <w:r>
        <w:rPr>
          <w:b/>
        </w:rPr>
        <w:t xml:space="preserve">Note:  </w:t>
      </w:r>
      <w:r>
        <w:t>Participation rates by ethnic group have been included in Section 8 of this report.</w:t>
      </w:r>
    </w:p>
    <w:p w:rsidR="009F5A23" w:rsidRDefault="009F5A23">
      <w:pPr>
        <w:rPr>
          <w:rFonts w:ascii="Arial" w:hAnsi="Arial"/>
          <w:caps/>
          <w:sz w:val="32"/>
        </w:rPr>
      </w:pPr>
      <w:bookmarkStart w:id="31" w:name="_Toc383697358"/>
      <w:r>
        <w:br w:type="page"/>
      </w:r>
    </w:p>
    <w:p w:rsidR="00ED68DB" w:rsidRPr="000045D2" w:rsidRDefault="009906ED" w:rsidP="00D570FD">
      <w:pPr>
        <w:pStyle w:val="Heading1"/>
        <w:spacing w:before="720"/>
      </w:pPr>
      <w:r>
        <w:lastRenderedPageBreak/>
        <w:t>E</w:t>
      </w:r>
      <w:r w:rsidR="005166CF">
        <w:t>nrolments by qualification level</w:t>
      </w:r>
      <w:bookmarkEnd w:id="31"/>
    </w:p>
    <w:p w:rsidR="00DE3610" w:rsidRDefault="004464EE" w:rsidP="00A07F6A">
      <w:pPr>
        <w:pStyle w:val="BodyText"/>
        <w:spacing w:after="220"/>
      </w:pPr>
      <w:r>
        <w:t xml:space="preserve">The number of domestic students in formal study at tertiary education providers decreased from </w:t>
      </w:r>
      <w:r w:rsidR="00D605CB">
        <w:t>2012</w:t>
      </w:r>
      <w:r>
        <w:t xml:space="preserve"> to </w:t>
      </w:r>
      <w:r w:rsidR="00D605CB">
        <w:t>2013</w:t>
      </w:r>
      <w:r w:rsidR="003B7D3D">
        <w:t xml:space="preserve"> by 0.9 percent to 370</w:t>
      </w:r>
      <w:r>
        <w:t xml:space="preserve">,000. </w:t>
      </w:r>
      <w:r w:rsidR="00D867C1">
        <w:t>I</w:t>
      </w:r>
      <w:r>
        <w:t xml:space="preserve">nternational enrolments </w:t>
      </w:r>
      <w:r w:rsidR="003B7D3D">
        <w:t>increased</w:t>
      </w:r>
      <w:r>
        <w:t xml:space="preserve"> </w:t>
      </w:r>
      <w:r w:rsidR="00D867C1">
        <w:t xml:space="preserve">by 0.6 percent from 2012 to </w:t>
      </w:r>
      <w:r w:rsidR="00D605CB">
        <w:t>2013</w:t>
      </w:r>
      <w:r w:rsidR="00D867C1">
        <w:t xml:space="preserve"> to </w:t>
      </w:r>
      <w:r w:rsidR="003B7D3D">
        <w:t>48,0</w:t>
      </w:r>
      <w:r>
        <w:t>00.</w:t>
      </w:r>
    </w:p>
    <w:p w:rsidR="00C3098B" w:rsidRDefault="0073013D" w:rsidP="00A07F6A">
      <w:pPr>
        <w:pStyle w:val="BodyText"/>
        <w:spacing w:after="220"/>
      </w:pPr>
      <w:r>
        <w:t>Table 4</w:t>
      </w:r>
      <w:r w:rsidR="004464EE">
        <w:t xml:space="preserve">.1 </w:t>
      </w:r>
      <w:r w:rsidR="00605588">
        <w:t>illustrates</w:t>
      </w:r>
      <w:r w:rsidR="007D4F80">
        <w:t xml:space="preserve"> that</w:t>
      </w:r>
      <w:r w:rsidR="00605588">
        <w:t xml:space="preserve"> the decrease in domestic enrolments</w:t>
      </w:r>
      <w:r w:rsidR="007D4F80">
        <w:t xml:space="preserve"> in </w:t>
      </w:r>
      <w:r w:rsidR="00D605CB">
        <w:t>2013</w:t>
      </w:r>
      <w:r w:rsidR="007D4F80">
        <w:t xml:space="preserve"> was mainly due</w:t>
      </w:r>
      <w:r w:rsidR="002677D3">
        <w:t xml:space="preserve"> to fewer non-degree enrolments, although enrolments at </w:t>
      </w:r>
      <w:proofErr w:type="gramStart"/>
      <w:r w:rsidR="00422202">
        <w:t>bachelors</w:t>
      </w:r>
      <w:proofErr w:type="gramEnd"/>
      <w:r w:rsidR="00422202">
        <w:t xml:space="preserve"> level also declined. While t</w:t>
      </w:r>
      <w:r w:rsidR="002677D3">
        <w:t xml:space="preserve">he decrease in non-degree enrolments was </w:t>
      </w:r>
      <w:r w:rsidR="007D4F80">
        <w:t>for the most part</w:t>
      </w:r>
      <w:r w:rsidR="00C3098B">
        <w:t xml:space="preserve"> attributable to </w:t>
      </w:r>
      <w:r w:rsidR="00422202">
        <w:t xml:space="preserve">domestic </w:t>
      </w:r>
      <w:r w:rsidR="00C3098B">
        <w:t>students aged 25 years and over, enrolments at this level also decreased for younger</w:t>
      </w:r>
      <w:r w:rsidR="00422202">
        <w:t xml:space="preserve"> domestic</w:t>
      </w:r>
      <w:r w:rsidR="00C3098B">
        <w:t xml:space="preserve"> students</w:t>
      </w:r>
      <w:r w:rsidR="00794D8F">
        <w:t xml:space="preserve">. </w:t>
      </w:r>
      <w:r w:rsidR="00AE3372">
        <w:t xml:space="preserve">The decrease in non-degree enrolments </w:t>
      </w:r>
      <w:r w:rsidR="00EF51E3">
        <w:t xml:space="preserve">by domestic students </w:t>
      </w:r>
      <w:r w:rsidR="00AE3372">
        <w:t xml:space="preserve">from </w:t>
      </w:r>
      <w:r w:rsidR="00D605CB">
        <w:t>2012</w:t>
      </w:r>
      <w:r w:rsidR="00AE3372">
        <w:t xml:space="preserve"> to </w:t>
      </w:r>
      <w:r w:rsidR="00D605CB">
        <w:t>2013</w:t>
      </w:r>
      <w:r w:rsidR="00F40653">
        <w:t xml:space="preserve"> was </w:t>
      </w:r>
      <w:r w:rsidR="002677D3">
        <w:t>1.5</w:t>
      </w:r>
      <w:r w:rsidR="00AE3372">
        <w:t xml:space="preserve"> percent overall.</w:t>
      </w:r>
    </w:p>
    <w:p w:rsidR="00344390" w:rsidRDefault="00746B79" w:rsidP="00A07F6A">
      <w:pPr>
        <w:pStyle w:val="BodyText"/>
        <w:spacing w:after="220"/>
      </w:pPr>
      <w:r>
        <w:t xml:space="preserve">The number of </w:t>
      </w:r>
      <w:r w:rsidR="00DE303E">
        <w:t xml:space="preserve">enrolments </w:t>
      </w:r>
      <w:r w:rsidR="00A42DD9">
        <w:t xml:space="preserve">by domestic students </w:t>
      </w:r>
      <w:r w:rsidR="00DE303E">
        <w:t xml:space="preserve">at </w:t>
      </w:r>
      <w:r>
        <w:t>b</w:t>
      </w:r>
      <w:r w:rsidR="00794D8F">
        <w:t>achelors-level</w:t>
      </w:r>
      <w:r w:rsidR="00605588">
        <w:t xml:space="preserve"> </w:t>
      </w:r>
      <w:r w:rsidR="00794D8F">
        <w:t>de</w:t>
      </w:r>
      <w:r w:rsidR="0073013D">
        <w:t xml:space="preserve">creased </w:t>
      </w:r>
      <w:r w:rsidR="00A42DD9">
        <w:t xml:space="preserve">from 2012 to 2013 </w:t>
      </w:r>
      <w:r w:rsidR="0073013D">
        <w:t>by</w:t>
      </w:r>
      <w:r w:rsidR="00794D8F">
        <w:t xml:space="preserve"> 1.5</w:t>
      </w:r>
      <w:r>
        <w:t xml:space="preserve"> percent</w:t>
      </w:r>
      <w:r w:rsidR="00344390">
        <w:t xml:space="preserve">, due </w:t>
      </w:r>
      <w:r w:rsidR="00A42DD9">
        <w:t xml:space="preserve">mainly </w:t>
      </w:r>
      <w:r w:rsidR="00344390">
        <w:t>to</w:t>
      </w:r>
      <w:r w:rsidR="00794D8F">
        <w:t xml:space="preserve"> </w:t>
      </w:r>
      <w:r w:rsidR="00A42DD9">
        <w:t>fewer enrolments</w:t>
      </w:r>
      <w:r w:rsidR="00794D8F">
        <w:t xml:space="preserve"> by stu</w:t>
      </w:r>
      <w:r w:rsidR="00A42DD9">
        <w:t>dents aged 25 years and over. P</w:t>
      </w:r>
      <w:r w:rsidR="00DE303E">
        <w:t>artially offset</w:t>
      </w:r>
      <w:r w:rsidR="00A42DD9">
        <w:t xml:space="preserve">ting the decline at bachelors-level were </w:t>
      </w:r>
      <w:r w:rsidR="00344390">
        <w:t>increased enrolments by</w:t>
      </w:r>
      <w:r w:rsidR="00794D8F">
        <w:t xml:space="preserve"> </w:t>
      </w:r>
      <w:r w:rsidR="00DE303E">
        <w:t xml:space="preserve">students aged 18 </w:t>
      </w:r>
      <w:r w:rsidR="00A42DD9">
        <w:t xml:space="preserve">to 19 </w:t>
      </w:r>
      <w:r w:rsidR="00DE303E">
        <w:t>years</w:t>
      </w:r>
      <w:r w:rsidR="00794D8F">
        <w:t xml:space="preserve"> (up by 1.0 percent)</w:t>
      </w:r>
      <w:r w:rsidR="00A42DD9">
        <w:t xml:space="preserve">, </w:t>
      </w:r>
      <w:r w:rsidR="00DE303E">
        <w:t>while these enrolments by</w:t>
      </w:r>
      <w:r w:rsidR="00344390">
        <w:t xml:space="preserve"> </w:t>
      </w:r>
      <w:r w:rsidR="00DE303E">
        <w:t xml:space="preserve">students aged </w:t>
      </w:r>
      <w:r w:rsidR="00A42DD9">
        <w:t>20</w:t>
      </w:r>
      <w:r w:rsidR="00344390">
        <w:t xml:space="preserve"> to 24 ye</w:t>
      </w:r>
      <w:r w:rsidR="00DE303E">
        <w:t>ar</w:t>
      </w:r>
      <w:r w:rsidR="00344390">
        <w:t xml:space="preserve">s </w:t>
      </w:r>
      <w:r w:rsidR="00DE303E">
        <w:t>remained stable</w:t>
      </w:r>
      <w:r w:rsidR="004E6283">
        <w:t xml:space="preserve"> (see comment </w:t>
      </w:r>
      <w:r w:rsidR="000E53FF">
        <w:t xml:space="preserve">below </w:t>
      </w:r>
      <w:r w:rsidR="004E6283">
        <w:t>on the reclassification of some degree-level qualifications)</w:t>
      </w:r>
      <w:r w:rsidR="00DE303E">
        <w:t>.</w:t>
      </w:r>
    </w:p>
    <w:p w:rsidR="00A42DD9" w:rsidRDefault="00640ECF" w:rsidP="00A07F6A">
      <w:pPr>
        <w:pStyle w:val="BodyText"/>
        <w:spacing w:after="220"/>
      </w:pPr>
      <w:r>
        <w:t>T</w:t>
      </w:r>
      <w:r w:rsidR="00605588">
        <w:t>he</w:t>
      </w:r>
      <w:r w:rsidR="00344390">
        <w:t>re were</w:t>
      </w:r>
      <w:r w:rsidR="00DE303E">
        <w:t xml:space="preserve"> in</w:t>
      </w:r>
      <w:r w:rsidR="00605588">
        <w:t xml:space="preserve">creases </w:t>
      </w:r>
      <w:r w:rsidR="00A42DD9">
        <w:t xml:space="preserve">from 2012 to 2013 </w:t>
      </w:r>
      <w:r w:rsidR="00605588">
        <w:t xml:space="preserve">in the number of </w:t>
      </w:r>
      <w:r>
        <w:t xml:space="preserve">domestic </w:t>
      </w:r>
      <w:r w:rsidR="00605588">
        <w:t xml:space="preserve">students </w:t>
      </w:r>
      <w:r w:rsidR="00DE303E">
        <w:t xml:space="preserve">enrolling in </w:t>
      </w:r>
      <w:r w:rsidR="00495D1D">
        <w:t xml:space="preserve">honours </w:t>
      </w:r>
      <w:r w:rsidR="00D867C1">
        <w:t xml:space="preserve">and </w:t>
      </w:r>
      <w:proofErr w:type="gramStart"/>
      <w:r w:rsidR="00D867C1">
        <w:t>masters</w:t>
      </w:r>
      <w:proofErr w:type="gramEnd"/>
      <w:r w:rsidR="00DE303E">
        <w:t xml:space="preserve"> degrees</w:t>
      </w:r>
      <w:r w:rsidR="000E53FF">
        <w:t xml:space="preserve"> </w:t>
      </w:r>
      <w:r w:rsidR="008135D5">
        <w:t>(</w:t>
      </w:r>
      <w:r w:rsidR="000E53FF">
        <w:t>see comment below on the reclassification of some degree-level qualifications)</w:t>
      </w:r>
      <w:r w:rsidR="00005F1A">
        <w:t xml:space="preserve">. </w:t>
      </w:r>
      <w:r w:rsidR="00D867C1">
        <w:t>This was mainly due to more enrolments in</w:t>
      </w:r>
      <w:r w:rsidR="00312024">
        <w:t xml:space="preserve"> </w:t>
      </w:r>
      <w:r w:rsidR="00495D1D">
        <w:t xml:space="preserve">honours </w:t>
      </w:r>
      <w:r w:rsidR="00D867C1">
        <w:t>by</w:t>
      </w:r>
      <w:r w:rsidR="00312024">
        <w:t xml:space="preserve"> students aged 18 to 19 years and </w:t>
      </w:r>
      <w:r w:rsidR="00D867C1">
        <w:t xml:space="preserve">more enrolments in </w:t>
      </w:r>
      <w:proofErr w:type="gramStart"/>
      <w:r w:rsidR="00D867C1">
        <w:t>masters</w:t>
      </w:r>
      <w:proofErr w:type="gramEnd"/>
      <w:r w:rsidR="00D867C1">
        <w:t xml:space="preserve"> degree</w:t>
      </w:r>
      <w:r w:rsidR="00312024">
        <w:t xml:space="preserve">s </w:t>
      </w:r>
      <w:r w:rsidR="00D867C1">
        <w:t>by</w:t>
      </w:r>
      <w:r w:rsidR="00312024">
        <w:t xml:space="preserve"> students aged 40 years and over. </w:t>
      </w:r>
      <w:r w:rsidR="00A42DD9">
        <w:t>The number of doctoral enrolments by domestic students decreased for the third consecutive year.</w:t>
      </w:r>
    </w:p>
    <w:p w:rsidR="00605588" w:rsidRPr="007A2951" w:rsidRDefault="00D867C1" w:rsidP="00A07F6A">
      <w:pPr>
        <w:pStyle w:val="BodyText"/>
        <w:spacing w:after="120"/>
        <w:rPr>
          <w:rFonts w:ascii="Arial" w:hAnsi="Arial" w:cs="Arial"/>
          <w:b/>
          <w:bCs/>
          <w:sz w:val="15"/>
        </w:rPr>
      </w:pPr>
      <w:r w:rsidRPr="007A2951">
        <w:t xml:space="preserve">From 2012 to 2013, international enrolments increased at most qualifications levels. </w:t>
      </w:r>
      <w:r w:rsidR="007A2951" w:rsidRPr="007A2951">
        <w:t xml:space="preserve">There were substantial increases in the number of students in bachelors-level study as well as </w:t>
      </w:r>
      <w:proofErr w:type="spellStart"/>
      <w:r w:rsidR="007A2951" w:rsidRPr="007A2951">
        <w:t>masters</w:t>
      </w:r>
      <w:proofErr w:type="spellEnd"/>
      <w:r w:rsidR="007A2951" w:rsidRPr="007A2951">
        <w:t xml:space="preserve"> and doctoral study</w:t>
      </w:r>
      <w:r w:rsidR="00422202" w:rsidRPr="007A2951">
        <w:t>.</w:t>
      </w:r>
      <w:r w:rsidR="007A2951" w:rsidRPr="007A2951">
        <w:t xml:space="preserve"> </w:t>
      </w:r>
      <w:r w:rsidR="007A2951">
        <w:t>The number of international students enrolled</w:t>
      </w:r>
      <w:r w:rsidR="007A2951" w:rsidRPr="007A2951">
        <w:t xml:space="preserve"> in </w:t>
      </w:r>
      <w:proofErr w:type="gramStart"/>
      <w:r w:rsidR="00624372">
        <w:t>bachelors</w:t>
      </w:r>
      <w:proofErr w:type="gramEnd"/>
      <w:r w:rsidR="00624372">
        <w:t xml:space="preserve"> </w:t>
      </w:r>
      <w:r w:rsidR="007A2951" w:rsidRPr="007A2951">
        <w:t>degree and higher qualifications increased from 2012 to 2013</w:t>
      </w:r>
      <w:r w:rsidR="007A2951">
        <w:t xml:space="preserve"> </w:t>
      </w:r>
      <w:r w:rsidR="007A2951" w:rsidRPr="007A2951">
        <w:t xml:space="preserve">by 5.0 percent. Partially offsetting the increase </w:t>
      </w:r>
      <w:r w:rsidR="007A2951">
        <w:t xml:space="preserve">the number of international students </w:t>
      </w:r>
      <w:r w:rsidR="007A2951" w:rsidRPr="007A2951">
        <w:t xml:space="preserve">was an 11 percent fall in the number </w:t>
      </w:r>
      <w:r w:rsidR="009117EC">
        <w:t>students in level 5 to 7 diploma</w:t>
      </w:r>
      <w:r w:rsidR="007A2951" w:rsidRPr="007A2951">
        <w:t>s.</w:t>
      </w:r>
    </w:p>
    <w:p w:rsidR="00DE3610" w:rsidRDefault="00DE3610" w:rsidP="00DE3610">
      <w:pPr>
        <w:pStyle w:val="Caption"/>
      </w:pPr>
      <w:proofErr w:type="gramStart"/>
      <w:r>
        <w:t xml:space="preserve">Table </w:t>
      </w:r>
      <w:r w:rsidR="005B67D2">
        <w:fldChar w:fldCharType="begin"/>
      </w:r>
      <w:r w:rsidR="00174F22">
        <w:instrText xml:space="preserve"> STYLEREF 1 \s </w:instrText>
      </w:r>
      <w:r w:rsidR="005B67D2">
        <w:fldChar w:fldCharType="separate"/>
      </w:r>
      <w:r w:rsidR="00375A85">
        <w:rPr>
          <w:noProof/>
        </w:rPr>
        <w:t>4</w:t>
      </w:r>
      <w:r w:rsidR="005B67D2">
        <w:fldChar w:fldCharType="end"/>
      </w:r>
      <w:r w:rsidR="00174F22">
        <w:t>.</w:t>
      </w:r>
      <w:proofErr w:type="gramEnd"/>
      <w:r w:rsidR="005B67D2">
        <w:fldChar w:fldCharType="begin"/>
      </w:r>
      <w:r w:rsidR="00174F22">
        <w:instrText xml:space="preserve"> SEQ Table \* ARABIC \s 1 </w:instrText>
      </w:r>
      <w:r w:rsidR="005B67D2">
        <w:fldChar w:fldCharType="separate"/>
      </w:r>
      <w:r w:rsidR="00375A85">
        <w:rPr>
          <w:noProof/>
        </w:rPr>
        <w:t>1</w:t>
      </w:r>
      <w:r w:rsidR="005B67D2">
        <w:fldChar w:fldCharType="end"/>
      </w:r>
    </w:p>
    <w:p w:rsidR="00DE3610" w:rsidRDefault="00DE3610" w:rsidP="00A07F6A">
      <w:pPr>
        <w:pStyle w:val="Tablelabel"/>
        <w:spacing w:after="60"/>
      </w:pPr>
      <w:bookmarkStart w:id="32" w:name="_Toc321134325"/>
      <w:bookmarkStart w:id="33" w:name="_Toc384287873"/>
      <w:r>
        <w:t>Domestic and international students in formal study by qualification level</w:t>
      </w:r>
      <w:bookmarkEnd w:id="32"/>
      <w:bookmarkEnd w:id="33"/>
    </w:p>
    <w:tbl>
      <w:tblPr>
        <w:tblW w:w="0" w:type="auto"/>
        <w:tblInd w:w="57" w:type="dxa"/>
        <w:tblBorders>
          <w:top w:val="single" w:sz="4" w:space="0" w:color="7F7F7F"/>
          <w:left w:val="single" w:sz="4" w:space="0" w:color="7F7F7F"/>
          <w:bottom w:val="single" w:sz="4" w:space="0" w:color="7F7F7F"/>
          <w:right w:val="single" w:sz="4" w:space="0" w:color="7F7F7F"/>
          <w:insideV w:val="single" w:sz="4" w:space="0" w:color="7F7F7F"/>
        </w:tblBorders>
        <w:tblLayout w:type="fixed"/>
        <w:tblCellMar>
          <w:top w:w="57" w:type="dxa"/>
          <w:left w:w="57" w:type="dxa"/>
          <w:bottom w:w="57" w:type="dxa"/>
          <w:right w:w="57" w:type="dxa"/>
        </w:tblCellMar>
        <w:tblLook w:val="01E0"/>
      </w:tblPr>
      <w:tblGrid>
        <w:gridCol w:w="1843"/>
        <w:gridCol w:w="851"/>
        <w:gridCol w:w="888"/>
        <w:gridCol w:w="671"/>
        <w:gridCol w:w="751"/>
        <w:gridCol w:w="712"/>
        <w:gridCol w:w="663"/>
        <w:gridCol w:w="759"/>
        <w:gridCol w:w="711"/>
        <w:gridCol w:w="712"/>
      </w:tblGrid>
      <w:tr w:rsidR="00DE3610" w:rsidRPr="00BB22EA" w:rsidTr="00E72BC0">
        <w:trPr>
          <w:trHeight w:val="113"/>
        </w:trPr>
        <w:tc>
          <w:tcPr>
            <w:tcW w:w="1843" w:type="dxa"/>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DE3610" w:rsidRDefault="00DE3610" w:rsidP="00ED5C86">
            <w:pPr>
              <w:pStyle w:val="Tabletext"/>
              <w:jc w:val="center"/>
            </w:pPr>
          </w:p>
        </w:tc>
        <w:tc>
          <w:tcPr>
            <w:tcW w:w="2410" w:type="dxa"/>
            <w:gridSpan w:val="3"/>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DE3610" w:rsidRPr="00857520" w:rsidRDefault="00DE3610" w:rsidP="00901B41">
            <w:pPr>
              <w:pStyle w:val="Tableheading"/>
            </w:pPr>
            <w:r w:rsidRPr="00857520">
              <w:t>Domestic formal</w:t>
            </w:r>
          </w:p>
          <w:p w:rsidR="00DE3610" w:rsidRPr="00857520" w:rsidRDefault="00DE3610" w:rsidP="00901B41">
            <w:pPr>
              <w:pStyle w:val="Tableheading"/>
            </w:pPr>
            <w:r w:rsidRPr="00857520">
              <w:t>enrolments</w:t>
            </w:r>
          </w:p>
        </w:tc>
        <w:tc>
          <w:tcPr>
            <w:tcW w:w="2126" w:type="dxa"/>
            <w:gridSpan w:val="3"/>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DE3610" w:rsidRPr="00857520" w:rsidRDefault="00DE3610" w:rsidP="00901B41">
            <w:pPr>
              <w:pStyle w:val="Tableheading"/>
            </w:pPr>
            <w:r w:rsidRPr="00857520">
              <w:t>International formal enrolments</w:t>
            </w:r>
          </w:p>
        </w:tc>
        <w:tc>
          <w:tcPr>
            <w:tcW w:w="2182" w:type="dxa"/>
            <w:gridSpan w:val="3"/>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DE3610" w:rsidRPr="00857520" w:rsidRDefault="00DE3610" w:rsidP="00901B41">
            <w:pPr>
              <w:pStyle w:val="Tableheading"/>
            </w:pPr>
            <w:r w:rsidRPr="00857520">
              <w:t>Total formal</w:t>
            </w:r>
          </w:p>
          <w:p w:rsidR="00DE3610" w:rsidRPr="00857520" w:rsidRDefault="00DE3610" w:rsidP="00901B41">
            <w:pPr>
              <w:pStyle w:val="Tableheading"/>
            </w:pPr>
            <w:r w:rsidRPr="00857520">
              <w:t>enrolments</w:t>
            </w:r>
          </w:p>
        </w:tc>
      </w:tr>
      <w:tr w:rsidR="00DE3610" w:rsidTr="00A07F6A">
        <w:trPr>
          <w:trHeight w:val="258"/>
        </w:trPr>
        <w:tc>
          <w:tcPr>
            <w:tcW w:w="1843" w:type="dxa"/>
            <w:tcBorders>
              <w:top w:val="nil"/>
              <w:left w:val="single" w:sz="4" w:space="0" w:color="7F7F7F"/>
              <w:bottom w:val="nil"/>
              <w:right w:val="single" w:sz="4" w:space="0" w:color="7F7F7F"/>
              <w:tl2br w:val="nil"/>
              <w:tr2bl w:val="nil"/>
            </w:tcBorders>
          </w:tcPr>
          <w:p w:rsidR="00DE3610" w:rsidRPr="00ED5C86" w:rsidRDefault="00DE3610" w:rsidP="00901B41">
            <w:pPr>
              <w:pStyle w:val="Tabletext"/>
              <w:rPr>
                <w:rFonts w:ascii="Book Antiqua" w:hAnsi="Book Antiqua"/>
                <w:sz w:val="18"/>
                <w:szCs w:val="18"/>
              </w:rPr>
            </w:pPr>
          </w:p>
        </w:tc>
        <w:tc>
          <w:tcPr>
            <w:tcW w:w="851" w:type="dxa"/>
            <w:tcBorders>
              <w:top w:val="nil"/>
              <w:left w:val="single" w:sz="4" w:space="0" w:color="7F7F7F"/>
              <w:bottom w:val="nil"/>
              <w:right w:val="single" w:sz="4" w:space="0" w:color="7F7F7F"/>
              <w:tl2br w:val="nil"/>
              <w:tr2bl w:val="nil"/>
            </w:tcBorders>
          </w:tcPr>
          <w:p w:rsidR="00DE3610" w:rsidRPr="006D132F" w:rsidRDefault="00D605CB" w:rsidP="00901B41">
            <w:pPr>
              <w:pStyle w:val="Tableheading"/>
            </w:pPr>
            <w:r>
              <w:t>2012</w:t>
            </w:r>
          </w:p>
        </w:tc>
        <w:tc>
          <w:tcPr>
            <w:tcW w:w="888" w:type="dxa"/>
            <w:tcBorders>
              <w:top w:val="nil"/>
              <w:left w:val="single" w:sz="4" w:space="0" w:color="7F7F7F"/>
              <w:bottom w:val="nil"/>
              <w:right w:val="single" w:sz="4" w:space="0" w:color="7F7F7F"/>
              <w:tl2br w:val="nil"/>
              <w:tr2bl w:val="nil"/>
            </w:tcBorders>
          </w:tcPr>
          <w:p w:rsidR="00DE3610" w:rsidRPr="006D132F" w:rsidRDefault="00D605CB" w:rsidP="00901B41">
            <w:pPr>
              <w:pStyle w:val="Tableheading"/>
            </w:pPr>
            <w:r>
              <w:t>2013</w:t>
            </w:r>
          </w:p>
        </w:tc>
        <w:tc>
          <w:tcPr>
            <w:tcW w:w="671" w:type="dxa"/>
            <w:tcBorders>
              <w:top w:val="nil"/>
              <w:left w:val="single" w:sz="4" w:space="0" w:color="7F7F7F"/>
              <w:bottom w:val="nil"/>
              <w:right w:val="single" w:sz="4" w:space="0" w:color="7F7F7F"/>
              <w:tl2br w:val="nil"/>
              <w:tr2bl w:val="nil"/>
            </w:tcBorders>
          </w:tcPr>
          <w:p w:rsidR="00DE3610" w:rsidRPr="006D132F" w:rsidRDefault="00DE3610" w:rsidP="00A07F6A">
            <w:pPr>
              <w:pStyle w:val="Tableheading"/>
              <w:spacing w:line="160" w:lineRule="atLeast"/>
            </w:pPr>
            <w:r w:rsidRPr="006D132F">
              <w:t>% change</w:t>
            </w:r>
          </w:p>
        </w:tc>
        <w:tc>
          <w:tcPr>
            <w:tcW w:w="751" w:type="dxa"/>
            <w:tcBorders>
              <w:top w:val="nil"/>
              <w:left w:val="single" w:sz="4" w:space="0" w:color="7F7F7F"/>
              <w:bottom w:val="nil"/>
              <w:right w:val="single" w:sz="4" w:space="0" w:color="7F7F7F"/>
              <w:tl2br w:val="nil"/>
              <w:tr2bl w:val="nil"/>
            </w:tcBorders>
          </w:tcPr>
          <w:p w:rsidR="00DE3610" w:rsidRPr="006D132F" w:rsidRDefault="00D605CB" w:rsidP="00901B41">
            <w:pPr>
              <w:pStyle w:val="Tableheading"/>
            </w:pPr>
            <w:r>
              <w:t>2012</w:t>
            </w:r>
          </w:p>
        </w:tc>
        <w:tc>
          <w:tcPr>
            <w:tcW w:w="712" w:type="dxa"/>
            <w:tcBorders>
              <w:top w:val="nil"/>
              <w:left w:val="single" w:sz="4" w:space="0" w:color="7F7F7F"/>
              <w:bottom w:val="nil"/>
              <w:right w:val="single" w:sz="4" w:space="0" w:color="7F7F7F"/>
              <w:tl2br w:val="nil"/>
              <w:tr2bl w:val="nil"/>
            </w:tcBorders>
          </w:tcPr>
          <w:p w:rsidR="00DE3610" w:rsidRPr="006D132F" w:rsidRDefault="00D605CB" w:rsidP="00901B41">
            <w:pPr>
              <w:pStyle w:val="Tableheading"/>
            </w:pPr>
            <w:r>
              <w:t>2013</w:t>
            </w:r>
          </w:p>
        </w:tc>
        <w:tc>
          <w:tcPr>
            <w:tcW w:w="663" w:type="dxa"/>
            <w:tcBorders>
              <w:top w:val="nil"/>
              <w:left w:val="single" w:sz="4" w:space="0" w:color="7F7F7F"/>
              <w:bottom w:val="nil"/>
              <w:right w:val="single" w:sz="4" w:space="0" w:color="7F7F7F"/>
              <w:tl2br w:val="nil"/>
              <w:tr2bl w:val="nil"/>
            </w:tcBorders>
          </w:tcPr>
          <w:p w:rsidR="00DE3610" w:rsidRPr="006D132F" w:rsidRDefault="00DE3610" w:rsidP="00A07F6A">
            <w:pPr>
              <w:pStyle w:val="Tableheading"/>
              <w:spacing w:line="160" w:lineRule="atLeast"/>
            </w:pPr>
            <w:r w:rsidRPr="006D132F">
              <w:t>% change</w:t>
            </w:r>
          </w:p>
        </w:tc>
        <w:tc>
          <w:tcPr>
            <w:tcW w:w="759" w:type="dxa"/>
            <w:tcBorders>
              <w:top w:val="nil"/>
              <w:left w:val="single" w:sz="4" w:space="0" w:color="7F7F7F"/>
              <w:bottom w:val="nil"/>
              <w:right w:val="single" w:sz="4" w:space="0" w:color="7F7F7F"/>
              <w:tl2br w:val="nil"/>
              <w:tr2bl w:val="nil"/>
            </w:tcBorders>
          </w:tcPr>
          <w:p w:rsidR="00DE3610" w:rsidRPr="006D132F" w:rsidRDefault="00D605CB" w:rsidP="00901B41">
            <w:pPr>
              <w:pStyle w:val="Tableheading"/>
            </w:pPr>
            <w:r>
              <w:t>2012</w:t>
            </w:r>
          </w:p>
        </w:tc>
        <w:tc>
          <w:tcPr>
            <w:tcW w:w="711" w:type="dxa"/>
            <w:tcBorders>
              <w:top w:val="nil"/>
              <w:left w:val="single" w:sz="4" w:space="0" w:color="7F7F7F"/>
              <w:bottom w:val="nil"/>
              <w:right w:val="single" w:sz="4" w:space="0" w:color="7F7F7F"/>
              <w:tl2br w:val="nil"/>
              <w:tr2bl w:val="nil"/>
            </w:tcBorders>
          </w:tcPr>
          <w:p w:rsidR="00DE3610" w:rsidRPr="006D132F" w:rsidRDefault="00D605CB" w:rsidP="00901B41">
            <w:pPr>
              <w:pStyle w:val="Tableheading"/>
            </w:pPr>
            <w:r>
              <w:t>2013</w:t>
            </w:r>
          </w:p>
        </w:tc>
        <w:tc>
          <w:tcPr>
            <w:tcW w:w="712" w:type="dxa"/>
            <w:tcBorders>
              <w:top w:val="nil"/>
              <w:left w:val="single" w:sz="4" w:space="0" w:color="7F7F7F"/>
              <w:bottom w:val="nil"/>
              <w:right w:val="single" w:sz="4" w:space="0" w:color="7F7F7F"/>
              <w:tl2br w:val="nil"/>
              <w:tr2bl w:val="nil"/>
            </w:tcBorders>
          </w:tcPr>
          <w:p w:rsidR="00DE3610" w:rsidRPr="006D132F" w:rsidRDefault="00DE3610" w:rsidP="00A07F6A">
            <w:pPr>
              <w:pStyle w:val="Tableheading"/>
              <w:spacing w:line="160" w:lineRule="atLeast"/>
            </w:pPr>
            <w:r w:rsidRPr="006D132F">
              <w:t>% change</w:t>
            </w:r>
          </w:p>
        </w:tc>
      </w:tr>
      <w:tr w:rsidR="00E72BC0" w:rsidTr="00E72BC0">
        <w:trPr>
          <w:trHeight w:val="57"/>
        </w:trPr>
        <w:tc>
          <w:tcPr>
            <w:tcW w:w="1843" w:type="dxa"/>
            <w:tcBorders>
              <w:top w:val="nil"/>
              <w:left w:val="single" w:sz="4" w:space="0" w:color="7F7F7F"/>
              <w:bottom w:val="nil"/>
              <w:right w:val="single" w:sz="4" w:space="0" w:color="7F7F7F"/>
              <w:tl2br w:val="nil"/>
              <w:tr2bl w:val="nil"/>
            </w:tcBorders>
            <w:shd w:val="clear" w:color="auto" w:fill="C2D8EA"/>
          </w:tcPr>
          <w:p w:rsidR="00E72BC0" w:rsidRPr="006D132F" w:rsidRDefault="00E72BC0" w:rsidP="00901B41">
            <w:pPr>
              <w:pStyle w:val="Tabletext"/>
            </w:pPr>
            <w:r>
              <w:t>Certificates 1</w:t>
            </w:r>
          </w:p>
        </w:tc>
        <w:tc>
          <w:tcPr>
            <w:tcW w:w="851" w:type="dxa"/>
            <w:tcBorders>
              <w:top w:val="nil"/>
              <w:left w:val="single" w:sz="4" w:space="0" w:color="7F7F7F"/>
              <w:bottom w:val="nil"/>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11,739</w:t>
            </w:r>
          </w:p>
        </w:tc>
        <w:tc>
          <w:tcPr>
            <w:tcW w:w="888" w:type="dxa"/>
            <w:tcBorders>
              <w:top w:val="nil"/>
              <w:left w:val="single" w:sz="4" w:space="0" w:color="7F7F7F"/>
              <w:bottom w:val="nil"/>
              <w:right w:val="single" w:sz="4" w:space="0" w:color="7F7F7F"/>
              <w:tl2br w:val="nil"/>
              <w:tr2bl w:val="nil"/>
            </w:tcBorders>
            <w:shd w:val="clear" w:color="auto" w:fill="C2D8EA"/>
            <w:vAlign w:val="bottom"/>
          </w:tcPr>
          <w:p w:rsidR="00E72BC0" w:rsidRPr="00E94968" w:rsidRDefault="00E72BC0" w:rsidP="00E94968">
            <w:pPr>
              <w:pStyle w:val="Tabletext"/>
              <w:jc w:val="right"/>
              <w:rPr>
                <w:lang w:eastAsia="en-NZ"/>
              </w:rPr>
            </w:pPr>
            <w:r w:rsidRPr="00E94968">
              <w:rPr>
                <w:lang w:eastAsia="en-NZ"/>
              </w:rPr>
              <w:t xml:space="preserve">15,056 </w:t>
            </w:r>
          </w:p>
        </w:tc>
        <w:tc>
          <w:tcPr>
            <w:tcW w:w="671" w:type="dxa"/>
            <w:tcBorders>
              <w:top w:val="nil"/>
              <w:left w:val="single" w:sz="4" w:space="0" w:color="7F7F7F"/>
              <w:bottom w:val="nil"/>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+28.3</w:t>
            </w:r>
          </w:p>
        </w:tc>
        <w:tc>
          <w:tcPr>
            <w:tcW w:w="751" w:type="dxa"/>
            <w:tcBorders>
              <w:top w:val="nil"/>
              <w:left w:val="single" w:sz="4" w:space="0" w:color="7F7F7F"/>
              <w:bottom w:val="nil"/>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709 </w:t>
            </w:r>
          </w:p>
        </w:tc>
        <w:tc>
          <w:tcPr>
            <w:tcW w:w="712" w:type="dxa"/>
            <w:tcBorders>
              <w:top w:val="nil"/>
              <w:left w:val="single" w:sz="4" w:space="0" w:color="7F7F7F"/>
              <w:bottom w:val="nil"/>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558 </w:t>
            </w:r>
          </w:p>
        </w:tc>
        <w:tc>
          <w:tcPr>
            <w:tcW w:w="663" w:type="dxa"/>
            <w:tcBorders>
              <w:top w:val="nil"/>
              <w:left w:val="single" w:sz="4" w:space="0" w:color="7F7F7F"/>
              <w:bottom w:val="nil"/>
              <w:right w:val="single" w:sz="4" w:space="0" w:color="7F7F7F"/>
              <w:tl2br w:val="nil"/>
              <w:tr2bl w:val="nil"/>
            </w:tcBorders>
            <w:shd w:val="clear" w:color="auto" w:fill="C2D8EA"/>
          </w:tcPr>
          <w:p w:rsidR="00E72BC0" w:rsidRDefault="00E72BC0" w:rsidP="00E72BC0">
            <w:pPr>
              <w:pStyle w:val="Tabletext"/>
              <w:jc w:val="right"/>
              <w:rPr>
                <w:lang w:eastAsia="en-NZ"/>
              </w:rPr>
            </w:pPr>
            <w:r>
              <w:rPr>
                <w:lang w:eastAsia="en-NZ"/>
              </w:rPr>
              <w:t>-21.3</w:t>
            </w:r>
          </w:p>
        </w:tc>
        <w:tc>
          <w:tcPr>
            <w:tcW w:w="759" w:type="dxa"/>
            <w:tcBorders>
              <w:top w:val="nil"/>
              <w:left w:val="single" w:sz="4" w:space="0" w:color="7F7F7F"/>
              <w:bottom w:val="nil"/>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12,448 </w:t>
            </w:r>
          </w:p>
        </w:tc>
        <w:tc>
          <w:tcPr>
            <w:tcW w:w="711" w:type="dxa"/>
            <w:tcBorders>
              <w:top w:val="nil"/>
              <w:left w:val="single" w:sz="4" w:space="0" w:color="7F7F7F"/>
              <w:bottom w:val="nil"/>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15,614 </w:t>
            </w:r>
          </w:p>
        </w:tc>
        <w:tc>
          <w:tcPr>
            <w:tcW w:w="712" w:type="dxa"/>
            <w:tcBorders>
              <w:top w:val="nil"/>
              <w:left w:val="single" w:sz="4" w:space="0" w:color="7F7F7F"/>
              <w:bottom w:val="nil"/>
              <w:right w:val="single" w:sz="4" w:space="0" w:color="7F7F7F"/>
              <w:tl2br w:val="nil"/>
              <w:tr2bl w:val="nil"/>
            </w:tcBorders>
            <w:shd w:val="clear" w:color="auto" w:fill="C2D8EA"/>
          </w:tcPr>
          <w:p w:rsidR="00E72BC0" w:rsidRDefault="00794D8F" w:rsidP="00ED5C86">
            <w:pPr>
              <w:pStyle w:val="Tabletext"/>
              <w:jc w:val="right"/>
              <w:rPr>
                <w:lang w:eastAsia="en-NZ"/>
              </w:rPr>
            </w:pPr>
            <w:r>
              <w:rPr>
                <w:lang w:eastAsia="en-NZ"/>
              </w:rPr>
              <w:t>+25.4</w:t>
            </w:r>
          </w:p>
        </w:tc>
      </w:tr>
      <w:tr w:rsidR="00E72BC0" w:rsidTr="00E72BC0">
        <w:trPr>
          <w:trHeight w:val="57"/>
        </w:trPr>
        <w:tc>
          <w:tcPr>
            <w:tcW w:w="1843" w:type="dxa"/>
            <w:tcBorders>
              <w:top w:val="nil"/>
              <w:left w:val="single" w:sz="4" w:space="0" w:color="7F7F7F"/>
              <w:bottom w:val="nil"/>
              <w:right w:val="single" w:sz="4" w:space="0" w:color="7F7F7F"/>
              <w:tl2br w:val="nil"/>
              <w:tr2bl w:val="nil"/>
            </w:tcBorders>
          </w:tcPr>
          <w:p w:rsidR="00E72BC0" w:rsidRPr="006D132F" w:rsidRDefault="00E72BC0" w:rsidP="00901B41">
            <w:pPr>
              <w:pStyle w:val="Tabletext"/>
            </w:pPr>
            <w:r>
              <w:t>Certificates 2</w:t>
            </w:r>
          </w:p>
        </w:tc>
        <w:tc>
          <w:tcPr>
            <w:tcW w:w="851" w:type="dxa"/>
            <w:tcBorders>
              <w:top w:val="nil"/>
              <w:left w:val="single" w:sz="4" w:space="0" w:color="7F7F7F"/>
              <w:bottom w:val="nil"/>
              <w:right w:val="single" w:sz="4" w:space="0" w:color="7F7F7F"/>
              <w:tl2br w:val="nil"/>
              <w:tr2bl w:val="nil"/>
            </w:tcBorders>
          </w:tcPr>
          <w:p w:rsidR="00E72BC0" w:rsidRDefault="00E72BC0" w:rsidP="00422202">
            <w:pPr>
              <w:pStyle w:val="Tabletext"/>
              <w:jc w:val="right"/>
              <w:rPr>
                <w:lang w:eastAsia="en-NZ"/>
              </w:rPr>
            </w:pPr>
            <w:r>
              <w:rPr>
                <w:lang w:eastAsia="en-NZ"/>
              </w:rPr>
              <w:t>44,420</w:t>
            </w:r>
          </w:p>
        </w:tc>
        <w:tc>
          <w:tcPr>
            <w:tcW w:w="888" w:type="dxa"/>
            <w:tcBorders>
              <w:top w:val="nil"/>
              <w:left w:val="single" w:sz="4" w:space="0" w:color="7F7F7F"/>
              <w:bottom w:val="nil"/>
              <w:right w:val="single" w:sz="4" w:space="0" w:color="7F7F7F"/>
              <w:tl2br w:val="nil"/>
              <w:tr2bl w:val="nil"/>
            </w:tcBorders>
            <w:vAlign w:val="bottom"/>
          </w:tcPr>
          <w:p w:rsidR="00E72BC0" w:rsidRPr="00E94968" w:rsidRDefault="00E72BC0" w:rsidP="00E94968">
            <w:pPr>
              <w:pStyle w:val="Tabletext"/>
              <w:jc w:val="right"/>
              <w:rPr>
                <w:lang w:eastAsia="en-NZ"/>
              </w:rPr>
            </w:pPr>
            <w:r w:rsidRPr="00E94968">
              <w:rPr>
                <w:lang w:eastAsia="en-NZ"/>
              </w:rPr>
              <w:t xml:space="preserve">43,267 </w:t>
            </w:r>
          </w:p>
        </w:tc>
        <w:tc>
          <w:tcPr>
            <w:tcW w:w="671" w:type="dxa"/>
            <w:tcBorders>
              <w:top w:val="nil"/>
              <w:left w:val="single" w:sz="4" w:space="0" w:color="7F7F7F"/>
              <w:bottom w:val="nil"/>
              <w:right w:val="single" w:sz="4" w:space="0" w:color="7F7F7F"/>
              <w:tl2br w:val="nil"/>
              <w:tr2bl w:val="nil"/>
            </w:tcBorders>
          </w:tcPr>
          <w:p w:rsidR="00E72BC0" w:rsidRDefault="00E72BC0" w:rsidP="00422202">
            <w:pPr>
              <w:pStyle w:val="Tabletext"/>
              <w:jc w:val="right"/>
              <w:rPr>
                <w:lang w:eastAsia="en-NZ"/>
              </w:rPr>
            </w:pPr>
            <w:r>
              <w:rPr>
                <w:lang w:eastAsia="en-NZ"/>
              </w:rPr>
              <w:t>-2.6</w:t>
            </w:r>
          </w:p>
        </w:tc>
        <w:tc>
          <w:tcPr>
            <w:tcW w:w="751" w:type="dxa"/>
            <w:tcBorders>
              <w:top w:val="nil"/>
              <w:left w:val="single" w:sz="4" w:space="0" w:color="7F7F7F"/>
              <w:bottom w:val="nil"/>
              <w:right w:val="single" w:sz="4" w:space="0" w:color="7F7F7F"/>
              <w:tl2br w:val="nil"/>
              <w:tr2bl w:val="nil"/>
            </w:tcBorders>
            <w:vAlign w:val="bottom"/>
          </w:tcPr>
          <w:p w:rsidR="00E72BC0" w:rsidRPr="00E72BC0" w:rsidRDefault="00E72BC0" w:rsidP="00E72BC0">
            <w:pPr>
              <w:pStyle w:val="Tabletext"/>
              <w:jc w:val="right"/>
              <w:rPr>
                <w:lang w:eastAsia="en-NZ"/>
              </w:rPr>
            </w:pPr>
            <w:r w:rsidRPr="00E72BC0">
              <w:rPr>
                <w:lang w:eastAsia="en-NZ"/>
              </w:rPr>
              <w:t xml:space="preserve">1,296 </w:t>
            </w:r>
          </w:p>
        </w:tc>
        <w:tc>
          <w:tcPr>
            <w:tcW w:w="712" w:type="dxa"/>
            <w:tcBorders>
              <w:top w:val="nil"/>
              <w:left w:val="single" w:sz="4" w:space="0" w:color="7F7F7F"/>
              <w:bottom w:val="nil"/>
              <w:right w:val="single" w:sz="4" w:space="0" w:color="7F7F7F"/>
              <w:tl2br w:val="nil"/>
              <w:tr2bl w:val="nil"/>
            </w:tcBorders>
            <w:vAlign w:val="bottom"/>
          </w:tcPr>
          <w:p w:rsidR="00E72BC0" w:rsidRPr="00E72BC0" w:rsidRDefault="00E72BC0" w:rsidP="00E72BC0">
            <w:pPr>
              <w:pStyle w:val="Tabletext"/>
              <w:jc w:val="right"/>
              <w:rPr>
                <w:lang w:eastAsia="en-NZ"/>
              </w:rPr>
            </w:pPr>
            <w:r w:rsidRPr="00E72BC0">
              <w:rPr>
                <w:lang w:eastAsia="en-NZ"/>
              </w:rPr>
              <w:t xml:space="preserve">1,314 </w:t>
            </w:r>
          </w:p>
        </w:tc>
        <w:tc>
          <w:tcPr>
            <w:tcW w:w="663" w:type="dxa"/>
            <w:tcBorders>
              <w:top w:val="nil"/>
              <w:left w:val="single" w:sz="4" w:space="0" w:color="7F7F7F"/>
              <w:bottom w:val="nil"/>
              <w:right w:val="single" w:sz="4" w:space="0" w:color="7F7F7F"/>
              <w:tl2br w:val="nil"/>
              <w:tr2bl w:val="nil"/>
            </w:tcBorders>
          </w:tcPr>
          <w:p w:rsidR="00E72BC0" w:rsidRDefault="00E72BC0" w:rsidP="00E72BC0">
            <w:pPr>
              <w:pStyle w:val="Tabletext"/>
              <w:jc w:val="right"/>
              <w:rPr>
                <w:lang w:eastAsia="en-NZ"/>
              </w:rPr>
            </w:pPr>
            <w:r>
              <w:rPr>
                <w:lang w:eastAsia="en-NZ"/>
              </w:rPr>
              <w:t>+1.4</w:t>
            </w:r>
          </w:p>
        </w:tc>
        <w:tc>
          <w:tcPr>
            <w:tcW w:w="759" w:type="dxa"/>
            <w:tcBorders>
              <w:top w:val="nil"/>
              <w:left w:val="single" w:sz="4" w:space="0" w:color="7F7F7F"/>
              <w:bottom w:val="nil"/>
              <w:right w:val="single" w:sz="4" w:space="0" w:color="7F7F7F"/>
              <w:tl2br w:val="nil"/>
              <w:tr2bl w:val="nil"/>
            </w:tcBorders>
            <w:vAlign w:val="bottom"/>
          </w:tcPr>
          <w:p w:rsidR="00E72BC0" w:rsidRPr="00794D8F" w:rsidRDefault="00E72BC0" w:rsidP="00794D8F">
            <w:pPr>
              <w:pStyle w:val="Tabletext"/>
              <w:jc w:val="right"/>
              <w:rPr>
                <w:lang w:eastAsia="en-NZ"/>
              </w:rPr>
            </w:pPr>
            <w:r w:rsidRPr="00794D8F">
              <w:rPr>
                <w:lang w:eastAsia="en-NZ"/>
              </w:rPr>
              <w:t xml:space="preserve">45,716 </w:t>
            </w:r>
          </w:p>
        </w:tc>
        <w:tc>
          <w:tcPr>
            <w:tcW w:w="711" w:type="dxa"/>
            <w:tcBorders>
              <w:top w:val="nil"/>
              <w:left w:val="single" w:sz="4" w:space="0" w:color="7F7F7F"/>
              <w:bottom w:val="nil"/>
              <w:right w:val="single" w:sz="4" w:space="0" w:color="7F7F7F"/>
              <w:tl2br w:val="nil"/>
              <w:tr2bl w:val="nil"/>
            </w:tcBorders>
            <w:vAlign w:val="bottom"/>
          </w:tcPr>
          <w:p w:rsidR="00E72BC0" w:rsidRPr="00794D8F" w:rsidRDefault="00E72BC0" w:rsidP="00794D8F">
            <w:pPr>
              <w:pStyle w:val="Tabletext"/>
              <w:jc w:val="right"/>
              <w:rPr>
                <w:lang w:eastAsia="en-NZ"/>
              </w:rPr>
            </w:pPr>
            <w:r w:rsidRPr="00794D8F">
              <w:rPr>
                <w:lang w:eastAsia="en-NZ"/>
              </w:rPr>
              <w:t xml:space="preserve">44,581 </w:t>
            </w:r>
          </w:p>
        </w:tc>
        <w:tc>
          <w:tcPr>
            <w:tcW w:w="712" w:type="dxa"/>
            <w:tcBorders>
              <w:top w:val="nil"/>
              <w:left w:val="single" w:sz="4" w:space="0" w:color="7F7F7F"/>
              <w:bottom w:val="nil"/>
              <w:right w:val="single" w:sz="4" w:space="0" w:color="7F7F7F"/>
              <w:tl2br w:val="nil"/>
              <w:tr2bl w:val="nil"/>
            </w:tcBorders>
          </w:tcPr>
          <w:p w:rsidR="00E72BC0" w:rsidRDefault="00794D8F" w:rsidP="00ED5C86">
            <w:pPr>
              <w:pStyle w:val="Tabletext"/>
              <w:jc w:val="right"/>
              <w:rPr>
                <w:lang w:eastAsia="en-NZ"/>
              </w:rPr>
            </w:pPr>
            <w:r>
              <w:rPr>
                <w:lang w:eastAsia="en-NZ"/>
              </w:rPr>
              <w:t>-2</w:t>
            </w:r>
            <w:r w:rsidR="00E72BC0">
              <w:rPr>
                <w:lang w:eastAsia="en-NZ"/>
              </w:rPr>
              <w:t>.5</w:t>
            </w:r>
          </w:p>
        </w:tc>
      </w:tr>
      <w:tr w:rsidR="00E72BC0" w:rsidTr="00E72BC0">
        <w:trPr>
          <w:trHeight w:val="57"/>
        </w:trPr>
        <w:tc>
          <w:tcPr>
            <w:tcW w:w="1843" w:type="dxa"/>
            <w:tcBorders>
              <w:top w:val="nil"/>
              <w:left w:val="single" w:sz="4" w:space="0" w:color="7F7F7F"/>
              <w:bottom w:val="nil"/>
              <w:right w:val="single" w:sz="4" w:space="0" w:color="7F7F7F"/>
              <w:tl2br w:val="nil"/>
              <w:tr2bl w:val="nil"/>
            </w:tcBorders>
            <w:shd w:val="clear" w:color="auto" w:fill="C2D8EA"/>
          </w:tcPr>
          <w:p w:rsidR="00E72BC0" w:rsidRPr="006D132F" w:rsidRDefault="00E72BC0" w:rsidP="00E03374">
            <w:pPr>
              <w:pStyle w:val="Tabletext"/>
            </w:pPr>
            <w:r>
              <w:t xml:space="preserve">Certificates </w:t>
            </w:r>
            <w:r w:rsidRPr="006D132F">
              <w:t>3</w:t>
            </w:r>
          </w:p>
        </w:tc>
        <w:tc>
          <w:tcPr>
            <w:tcW w:w="851" w:type="dxa"/>
            <w:tcBorders>
              <w:top w:val="nil"/>
              <w:left w:val="single" w:sz="4" w:space="0" w:color="7F7F7F"/>
              <w:bottom w:val="nil"/>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55,623</w:t>
            </w:r>
          </w:p>
        </w:tc>
        <w:tc>
          <w:tcPr>
            <w:tcW w:w="888" w:type="dxa"/>
            <w:tcBorders>
              <w:top w:val="nil"/>
              <w:left w:val="single" w:sz="4" w:space="0" w:color="7F7F7F"/>
              <w:bottom w:val="nil"/>
              <w:right w:val="single" w:sz="4" w:space="0" w:color="7F7F7F"/>
              <w:tl2br w:val="nil"/>
              <w:tr2bl w:val="nil"/>
            </w:tcBorders>
            <w:shd w:val="clear" w:color="auto" w:fill="C2D8EA"/>
            <w:vAlign w:val="bottom"/>
          </w:tcPr>
          <w:p w:rsidR="00E72BC0" w:rsidRPr="00E94968" w:rsidRDefault="00E72BC0" w:rsidP="00E94968">
            <w:pPr>
              <w:pStyle w:val="Tabletext"/>
              <w:jc w:val="right"/>
              <w:rPr>
                <w:lang w:eastAsia="en-NZ"/>
              </w:rPr>
            </w:pPr>
            <w:r w:rsidRPr="00E94968">
              <w:rPr>
                <w:lang w:eastAsia="en-NZ"/>
              </w:rPr>
              <w:t xml:space="preserve">57,449 </w:t>
            </w:r>
          </w:p>
        </w:tc>
        <w:tc>
          <w:tcPr>
            <w:tcW w:w="671" w:type="dxa"/>
            <w:tcBorders>
              <w:top w:val="nil"/>
              <w:left w:val="single" w:sz="4" w:space="0" w:color="7F7F7F"/>
              <w:bottom w:val="nil"/>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+3.3</w:t>
            </w:r>
          </w:p>
        </w:tc>
        <w:tc>
          <w:tcPr>
            <w:tcW w:w="751" w:type="dxa"/>
            <w:tcBorders>
              <w:top w:val="nil"/>
              <w:left w:val="single" w:sz="4" w:space="0" w:color="7F7F7F"/>
              <w:bottom w:val="nil"/>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2,700 </w:t>
            </w:r>
          </w:p>
        </w:tc>
        <w:tc>
          <w:tcPr>
            <w:tcW w:w="712" w:type="dxa"/>
            <w:tcBorders>
              <w:top w:val="nil"/>
              <w:left w:val="single" w:sz="4" w:space="0" w:color="7F7F7F"/>
              <w:bottom w:val="nil"/>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2,698 </w:t>
            </w:r>
          </w:p>
        </w:tc>
        <w:tc>
          <w:tcPr>
            <w:tcW w:w="663" w:type="dxa"/>
            <w:tcBorders>
              <w:top w:val="nil"/>
              <w:left w:val="single" w:sz="4" w:space="0" w:color="7F7F7F"/>
              <w:bottom w:val="nil"/>
              <w:right w:val="single" w:sz="4" w:space="0" w:color="7F7F7F"/>
              <w:tl2br w:val="nil"/>
              <w:tr2bl w:val="nil"/>
            </w:tcBorders>
            <w:shd w:val="clear" w:color="auto" w:fill="C2D8EA"/>
          </w:tcPr>
          <w:p w:rsidR="00E72BC0" w:rsidRDefault="00E72BC0" w:rsidP="00E72BC0">
            <w:pPr>
              <w:pStyle w:val="Tabletext"/>
              <w:jc w:val="right"/>
              <w:rPr>
                <w:lang w:eastAsia="en-NZ"/>
              </w:rPr>
            </w:pPr>
            <w:r>
              <w:rPr>
                <w:lang w:eastAsia="en-NZ"/>
              </w:rPr>
              <w:t>-0.1</w:t>
            </w:r>
          </w:p>
        </w:tc>
        <w:tc>
          <w:tcPr>
            <w:tcW w:w="759" w:type="dxa"/>
            <w:tcBorders>
              <w:top w:val="nil"/>
              <w:left w:val="single" w:sz="4" w:space="0" w:color="7F7F7F"/>
              <w:bottom w:val="nil"/>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58,323 </w:t>
            </w:r>
          </w:p>
        </w:tc>
        <w:tc>
          <w:tcPr>
            <w:tcW w:w="711" w:type="dxa"/>
            <w:tcBorders>
              <w:top w:val="nil"/>
              <w:left w:val="single" w:sz="4" w:space="0" w:color="7F7F7F"/>
              <w:bottom w:val="nil"/>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60,147 </w:t>
            </w:r>
          </w:p>
        </w:tc>
        <w:tc>
          <w:tcPr>
            <w:tcW w:w="712" w:type="dxa"/>
            <w:tcBorders>
              <w:top w:val="nil"/>
              <w:left w:val="single" w:sz="4" w:space="0" w:color="7F7F7F"/>
              <w:bottom w:val="nil"/>
              <w:right w:val="single" w:sz="4" w:space="0" w:color="7F7F7F"/>
              <w:tl2br w:val="nil"/>
              <w:tr2bl w:val="nil"/>
            </w:tcBorders>
            <w:shd w:val="clear" w:color="auto" w:fill="C2D8EA"/>
          </w:tcPr>
          <w:p w:rsidR="00E72BC0" w:rsidRDefault="00794D8F" w:rsidP="00ED5C86">
            <w:pPr>
              <w:pStyle w:val="Tabletext"/>
              <w:jc w:val="right"/>
              <w:rPr>
                <w:lang w:eastAsia="en-NZ"/>
              </w:rPr>
            </w:pPr>
            <w:r>
              <w:rPr>
                <w:lang w:eastAsia="en-NZ"/>
              </w:rPr>
              <w:t>+3</w:t>
            </w:r>
            <w:r w:rsidR="00E72BC0">
              <w:rPr>
                <w:lang w:eastAsia="en-NZ"/>
              </w:rPr>
              <w:t>.1</w:t>
            </w:r>
          </w:p>
        </w:tc>
      </w:tr>
      <w:tr w:rsidR="00E72BC0" w:rsidTr="00E72BC0">
        <w:trPr>
          <w:trHeight w:val="57"/>
        </w:trPr>
        <w:tc>
          <w:tcPr>
            <w:tcW w:w="1843" w:type="dxa"/>
            <w:tcBorders>
              <w:top w:val="nil"/>
              <w:left w:val="single" w:sz="4" w:space="0" w:color="7F7F7F"/>
              <w:bottom w:val="nil"/>
              <w:right w:val="single" w:sz="4" w:space="0" w:color="7F7F7F"/>
              <w:tl2br w:val="nil"/>
              <w:tr2bl w:val="nil"/>
            </w:tcBorders>
          </w:tcPr>
          <w:p w:rsidR="00E72BC0" w:rsidRPr="006D132F" w:rsidRDefault="00E72BC0" w:rsidP="00901B41">
            <w:pPr>
              <w:pStyle w:val="Tabletext"/>
            </w:pPr>
            <w:r w:rsidRPr="006D132F">
              <w:t>Certificates 4</w:t>
            </w:r>
          </w:p>
        </w:tc>
        <w:tc>
          <w:tcPr>
            <w:tcW w:w="851" w:type="dxa"/>
            <w:tcBorders>
              <w:top w:val="nil"/>
              <w:left w:val="single" w:sz="4" w:space="0" w:color="7F7F7F"/>
              <w:bottom w:val="nil"/>
              <w:right w:val="single" w:sz="4" w:space="0" w:color="7F7F7F"/>
              <w:tl2br w:val="nil"/>
              <w:tr2bl w:val="nil"/>
            </w:tcBorders>
          </w:tcPr>
          <w:p w:rsidR="00E72BC0" w:rsidRDefault="00E72BC0" w:rsidP="00422202">
            <w:pPr>
              <w:pStyle w:val="Tabletext"/>
              <w:jc w:val="right"/>
              <w:rPr>
                <w:lang w:eastAsia="en-NZ"/>
              </w:rPr>
            </w:pPr>
            <w:r>
              <w:rPr>
                <w:lang w:eastAsia="en-NZ"/>
              </w:rPr>
              <w:t>61,151</w:t>
            </w:r>
          </w:p>
        </w:tc>
        <w:tc>
          <w:tcPr>
            <w:tcW w:w="888" w:type="dxa"/>
            <w:tcBorders>
              <w:top w:val="nil"/>
              <w:left w:val="single" w:sz="4" w:space="0" w:color="7F7F7F"/>
              <w:bottom w:val="nil"/>
              <w:right w:val="single" w:sz="4" w:space="0" w:color="7F7F7F"/>
              <w:tl2br w:val="nil"/>
              <w:tr2bl w:val="nil"/>
            </w:tcBorders>
            <w:vAlign w:val="bottom"/>
          </w:tcPr>
          <w:p w:rsidR="00E72BC0" w:rsidRPr="00E94968" w:rsidRDefault="00E72BC0" w:rsidP="00E94968">
            <w:pPr>
              <w:pStyle w:val="Tabletext"/>
              <w:jc w:val="right"/>
              <w:rPr>
                <w:lang w:eastAsia="en-NZ"/>
              </w:rPr>
            </w:pPr>
            <w:r w:rsidRPr="00E94968">
              <w:rPr>
                <w:lang w:eastAsia="en-NZ"/>
              </w:rPr>
              <w:t xml:space="preserve">58,395 </w:t>
            </w:r>
          </w:p>
        </w:tc>
        <w:tc>
          <w:tcPr>
            <w:tcW w:w="671" w:type="dxa"/>
            <w:tcBorders>
              <w:top w:val="nil"/>
              <w:left w:val="single" w:sz="4" w:space="0" w:color="7F7F7F"/>
              <w:bottom w:val="nil"/>
              <w:right w:val="single" w:sz="4" w:space="0" w:color="7F7F7F"/>
              <w:tl2br w:val="nil"/>
              <w:tr2bl w:val="nil"/>
            </w:tcBorders>
          </w:tcPr>
          <w:p w:rsidR="00E72BC0" w:rsidRDefault="00E72BC0" w:rsidP="00422202">
            <w:pPr>
              <w:pStyle w:val="Tabletext"/>
              <w:jc w:val="right"/>
              <w:rPr>
                <w:lang w:eastAsia="en-NZ"/>
              </w:rPr>
            </w:pPr>
            <w:r>
              <w:rPr>
                <w:lang w:eastAsia="en-NZ"/>
              </w:rPr>
              <w:t>-4.5</w:t>
            </w:r>
          </w:p>
        </w:tc>
        <w:tc>
          <w:tcPr>
            <w:tcW w:w="751" w:type="dxa"/>
            <w:tcBorders>
              <w:top w:val="nil"/>
              <w:left w:val="single" w:sz="4" w:space="0" w:color="7F7F7F"/>
              <w:bottom w:val="nil"/>
              <w:right w:val="single" w:sz="4" w:space="0" w:color="7F7F7F"/>
              <w:tl2br w:val="nil"/>
              <w:tr2bl w:val="nil"/>
            </w:tcBorders>
            <w:vAlign w:val="bottom"/>
          </w:tcPr>
          <w:p w:rsidR="00E72BC0" w:rsidRPr="00E72BC0" w:rsidRDefault="00E72BC0" w:rsidP="00E72BC0">
            <w:pPr>
              <w:pStyle w:val="Tabletext"/>
              <w:jc w:val="right"/>
              <w:rPr>
                <w:lang w:eastAsia="en-NZ"/>
              </w:rPr>
            </w:pPr>
            <w:r w:rsidRPr="00E72BC0">
              <w:rPr>
                <w:lang w:eastAsia="en-NZ"/>
              </w:rPr>
              <w:t xml:space="preserve">4,994 </w:t>
            </w:r>
          </w:p>
        </w:tc>
        <w:tc>
          <w:tcPr>
            <w:tcW w:w="712" w:type="dxa"/>
            <w:tcBorders>
              <w:top w:val="nil"/>
              <w:left w:val="single" w:sz="4" w:space="0" w:color="7F7F7F"/>
              <w:bottom w:val="nil"/>
              <w:right w:val="single" w:sz="4" w:space="0" w:color="7F7F7F"/>
              <w:tl2br w:val="nil"/>
              <w:tr2bl w:val="nil"/>
            </w:tcBorders>
            <w:vAlign w:val="bottom"/>
          </w:tcPr>
          <w:p w:rsidR="00E72BC0" w:rsidRPr="00E72BC0" w:rsidRDefault="00E72BC0" w:rsidP="00E72BC0">
            <w:pPr>
              <w:pStyle w:val="Tabletext"/>
              <w:jc w:val="right"/>
              <w:rPr>
                <w:lang w:eastAsia="en-NZ"/>
              </w:rPr>
            </w:pPr>
            <w:r w:rsidRPr="00E72BC0">
              <w:rPr>
                <w:lang w:eastAsia="en-NZ"/>
              </w:rPr>
              <w:t xml:space="preserve">5,069 </w:t>
            </w:r>
          </w:p>
        </w:tc>
        <w:tc>
          <w:tcPr>
            <w:tcW w:w="663" w:type="dxa"/>
            <w:tcBorders>
              <w:top w:val="nil"/>
              <w:left w:val="single" w:sz="4" w:space="0" w:color="7F7F7F"/>
              <w:bottom w:val="nil"/>
              <w:right w:val="single" w:sz="4" w:space="0" w:color="7F7F7F"/>
              <w:tl2br w:val="nil"/>
              <w:tr2bl w:val="nil"/>
            </w:tcBorders>
          </w:tcPr>
          <w:p w:rsidR="00E72BC0" w:rsidRDefault="00E72BC0" w:rsidP="00E72BC0">
            <w:pPr>
              <w:pStyle w:val="Tabletext"/>
              <w:jc w:val="right"/>
              <w:rPr>
                <w:lang w:eastAsia="en-NZ"/>
              </w:rPr>
            </w:pPr>
            <w:r>
              <w:rPr>
                <w:lang w:eastAsia="en-NZ"/>
              </w:rPr>
              <w:t>+1.5</w:t>
            </w:r>
          </w:p>
        </w:tc>
        <w:tc>
          <w:tcPr>
            <w:tcW w:w="759" w:type="dxa"/>
            <w:tcBorders>
              <w:top w:val="nil"/>
              <w:left w:val="single" w:sz="4" w:space="0" w:color="7F7F7F"/>
              <w:bottom w:val="nil"/>
              <w:right w:val="single" w:sz="4" w:space="0" w:color="7F7F7F"/>
              <w:tl2br w:val="nil"/>
              <w:tr2bl w:val="nil"/>
            </w:tcBorders>
            <w:vAlign w:val="bottom"/>
          </w:tcPr>
          <w:p w:rsidR="00E72BC0" w:rsidRPr="00794D8F" w:rsidRDefault="00E72BC0" w:rsidP="00794D8F">
            <w:pPr>
              <w:pStyle w:val="Tabletext"/>
              <w:jc w:val="right"/>
              <w:rPr>
                <w:lang w:eastAsia="en-NZ"/>
              </w:rPr>
            </w:pPr>
            <w:r w:rsidRPr="00794D8F">
              <w:rPr>
                <w:lang w:eastAsia="en-NZ"/>
              </w:rPr>
              <w:t xml:space="preserve">66,145 </w:t>
            </w:r>
          </w:p>
        </w:tc>
        <w:tc>
          <w:tcPr>
            <w:tcW w:w="711" w:type="dxa"/>
            <w:tcBorders>
              <w:top w:val="nil"/>
              <w:left w:val="single" w:sz="4" w:space="0" w:color="7F7F7F"/>
              <w:bottom w:val="nil"/>
              <w:right w:val="single" w:sz="4" w:space="0" w:color="7F7F7F"/>
              <w:tl2br w:val="nil"/>
              <w:tr2bl w:val="nil"/>
            </w:tcBorders>
            <w:vAlign w:val="bottom"/>
          </w:tcPr>
          <w:p w:rsidR="00E72BC0" w:rsidRPr="00794D8F" w:rsidRDefault="00E72BC0" w:rsidP="00794D8F">
            <w:pPr>
              <w:pStyle w:val="Tabletext"/>
              <w:jc w:val="right"/>
              <w:rPr>
                <w:lang w:eastAsia="en-NZ"/>
              </w:rPr>
            </w:pPr>
            <w:r w:rsidRPr="00794D8F">
              <w:rPr>
                <w:lang w:eastAsia="en-NZ"/>
              </w:rPr>
              <w:t xml:space="preserve">63,464 </w:t>
            </w:r>
          </w:p>
        </w:tc>
        <w:tc>
          <w:tcPr>
            <w:tcW w:w="712" w:type="dxa"/>
            <w:tcBorders>
              <w:top w:val="nil"/>
              <w:left w:val="single" w:sz="4" w:space="0" w:color="7F7F7F"/>
              <w:bottom w:val="nil"/>
              <w:right w:val="single" w:sz="4" w:space="0" w:color="7F7F7F"/>
              <w:tl2br w:val="nil"/>
              <w:tr2bl w:val="nil"/>
            </w:tcBorders>
          </w:tcPr>
          <w:p w:rsidR="00E72BC0" w:rsidRDefault="00794D8F" w:rsidP="00794D8F">
            <w:pPr>
              <w:pStyle w:val="Tabletext"/>
              <w:jc w:val="right"/>
              <w:rPr>
                <w:lang w:eastAsia="en-NZ"/>
              </w:rPr>
            </w:pPr>
            <w:r>
              <w:rPr>
                <w:lang w:eastAsia="en-NZ"/>
              </w:rPr>
              <w:t>-4</w:t>
            </w:r>
            <w:r w:rsidR="00E72BC0">
              <w:rPr>
                <w:lang w:eastAsia="en-NZ"/>
              </w:rPr>
              <w:t>.</w:t>
            </w:r>
            <w:r>
              <w:rPr>
                <w:lang w:eastAsia="en-NZ"/>
              </w:rPr>
              <w:t>1</w:t>
            </w:r>
          </w:p>
        </w:tc>
      </w:tr>
      <w:tr w:rsidR="00E72BC0" w:rsidTr="00E72BC0">
        <w:trPr>
          <w:trHeight w:val="57"/>
        </w:trPr>
        <w:tc>
          <w:tcPr>
            <w:tcW w:w="1843" w:type="dxa"/>
            <w:tcBorders>
              <w:top w:val="nil"/>
              <w:left w:val="single" w:sz="4" w:space="0" w:color="7F7F7F"/>
              <w:bottom w:val="nil"/>
              <w:right w:val="single" w:sz="4" w:space="0" w:color="7F7F7F"/>
              <w:tl2br w:val="nil"/>
              <w:tr2bl w:val="nil"/>
            </w:tcBorders>
            <w:shd w:val="clear" w:color="auto" w:fill="C2D8EA"/>
          </w:tcPr>
          <w:p w:rsidR="00E72BC0" w:rsidRPr="006D132F" w:rsidRDefault="00E72BC0" w:rsidP="00901B41">
            <w:pPr>
              <w:pStyle w:val="Tabletext"/>
            </w:pPr>
            <w:r w:rsidRPr="006D132F">
              <w:t>Diplomas 5-7</w:t>
            </w:r>
          </w:p>
        </w:tc>
        <w:tc>
          <w:tcPr>
            <w:tcW w:w="851" w:type="dxa"/>
            <w:tcBorders>
              <w:top w:val="nil"/>
              <w:left w:val="single" w:sz="4" w:space="0" w:color="7F7F7F"/>
              <w:bottom w:val="nil"/>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55,318</w:t>
            </w:r>
          </w:p>
        </w:tc>
        <w:tc>
          <w:tcPr>
            <w:tcW w:w="888" w:type="dxa"/>
            <w:tcBorders>
              <w:top w:val="nil"/>
              <w:left w:val="single" w:sz="4" w:space="0" w:color="7F7F7F"/>
              <w:bottom w:val="nil"/>
              <w:right w:val="single" w:sz="4" w:space="0" w:color="7F7F7F"/>
              <w:tl2br w:val="nil"/>
              <w:tr2bl w:val="nil"/>
            </w:tcBorders>
            <w:shd w:val="clear" w:color="auto" w:fill="C2D8EA"/>
            <w:vAlign w:val="bottom"/>
          </w:tcPr>
          <w:p w:rsidR="00E72BC0" w:rsidRPr="00E94968" w:rsidRDefault="00E72BC0" w:rsidP="00E94968">
            <w:pPr>
              <w:pStyle w:val="Tabletext"/>
              <w:jc w:val="right"/>
              <w:rPr>
                <w:lang w:eastAsia="en-NZ"/>
              </w:rPr>
            </w:pPr>
            <w:r w:rsidRPr="00E94968">
              <w:rPr>
                <w:lang w:eastAsia="en-NZ"/>
              </w:rPr>
              <w:t xml:space="preserve">52,218 </w:t>
            </w:r>
          </w:p>
        </w:tc>
        <w:tc>
          <w:tcPr>
            <w:tcW w:w="671" w:type="dxa"/>
            <w:tcBorders>
              <w:top w:val="nil"/>
              <w:left w:val="single" w:sz="4" w:space="0" w:color="7F7F7F"/>
              <w:bottom w:val="nil"/>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-5.6</w:t>
            </w:r>
          </w:p>
        </w:tc>
        <w:tc>
          <w:tcPr>
            <w:tcW w:w="751" w:type="dxa"/>
            <w:tcBorders>
              <w:top w:val="nil"/>
              <w:left w:val="single" w:sz="4" w:space="0" w:color="7F7F7F"/>
              <w:bottom w:val="nil"/>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12,980 </w:t>
            </w:r>
          </w:p>
        </w:tc>
        <w:tc>
          <w:tcPr>
            <w:tcW w:w="712" w:type="dxa"/>
            <w:tcBorders>
              <w:top w:val="nil"/>
              <w:left w:val="single" w:sz="4" w:space="0" w:color="7F7F7F"/>
              <w:bottom w:val="nil"/>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11,533 </w:t>
            </w:r>
          </w:p>
        </w:tc>
        <w:tc>
          <w:tcPr>
            <w:tcW w:w="663" w:type="dxa"/>
            <w:tcBorders>
              <w:top w:val="nil"/>
              <w:left w:val="single" w:sz="4" w:space="0" w:color="7F7F7F"/>
              <w:bottom w:val="nil"/>
              <w:right w:val="single" w:sz="4" w:space="0" w:color="7F7F7F"/>
              <w:tl2br w:val="nil"/>
              <w:tr2bl w:val="nil"/>
            </w:tcBorders>
            <w:shd w:val="clear" w:color="auto" w:fill="C2D8EA"/>
          </w:tcPr>
          <w:p w:rsidR="00E72BC0" w:rsidRDefault="00E72BC0" w:rsidP="00ED5C86">
            <w:pPr>
              <w:pStyle w:val="Tabletext"/>
              <w:jc w:val="right"/>
              <w:rPr>
                <w:lang w:eastAsia="en-NZ"/>
              </w:rPr>
            </w:pPr>
            <w:r>
              <w:rPr>
                <w:lang w:eastAsia="en-NZ"/>
              </w:rPr>
              <w:t>-11.1</w:t>
            </w:r>
          </w:p>
        </w:tc>
        <w:tc>
          <w:tcPr>
            <w:tcW w:w="759" w:type="dxa"/>
            <w:tcBorders>
              <w:top w:val="nil"/>
              <w:left w:val="single" w:sz="4" w:space="0" w:color="7F7F7F"/>
              <w:bottom w:val="nil"/>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68,298 </w:t>
            </w:r>
          </w:p>
        </w:tc>
        <w:tc>
          <w:tcPr>
            <w:tcW w:w="711" w:type="dxa"/>
            <w:tcBorders>
              <w:top w:val="nil"/>
              <w:left w:val="single" w:sz="4" w:space="0" w:color="7F7F7F"/>
              <w:bottom w:val="nil"/>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63,751 </w:t>
            </w:r>
          </w:p>
        </w:tc>
        <w:tc>
          <w:tcPr>
            <w:tcW w:w="712" w:type="dxa"/>
            <w:tcBorders>
              <w:top w:val="nil"/>
              <w:left w:val="single" w:sz="4" w:space="0" w:color="7F7F7F"/>
              <w:bottom w:val="nil"/>
              <w:right w:val="single" w:sz="4" w:space="0" w:color="7F7F7F"/>
              <w:tl2br w:val="nil"/>
              <w:tr2bl w:val="nil"/>
            </w:tcBorders>
            <w:shd w:val="clear" w:color="auto" w:fill="C2D8EA"/>
          </w:tcPr>
          <w:p w:rsidR="00E72BC0" w:rsidRDefault="00E72BC0" w:rsidP="00794D8F">
            <w:pPr>
              <w:pStyle w:val="Tabletext"/>
              <w:jc w:val="right"/>
              <w:rPr>
                <w:lang w:eastAsia="en-NZ"/>
              </w:rPr>
            </w:pPr>
            <w:r>
              <w:rPr>
                <w:lang w:eastAsia="en-NZ"/>
              </w:rPr>
              <w:t>-</w:t>
            </w:r>
            <w:r w:rsidR="00794D8F">
              <w:rPr>
                <w:lang w:eastAsia="en-NZ"/>
              </w:rPr>
              <w:t>6.7</w:t>
            </w:r>
          </w:p>
        </w:tc>
      </w:tr>
      <w:tr w:rsidR="00E72BC0" w:rsidTr="00E72BC0">
        <w:trPr>
          <w:trHeight w:val="57"/>
        </w:trPr>
        <w:tc>
          <w:tcPr>
            <w:tcW w:w="1843" w:type="dxa"/>
            <w:tcBorders>
              <w:top w:val="nil"/>
              <w:left w:val="single" w:sz="4" w:space="0" w:color="7F7F7F"/>
              <w:bottom w:val="nil"/>
              <w:right w:val="single" w:sz="4" w:space="0" w:color="7F7F7F"/>
              <w:tl2br w:val="nil"/>
              <w:tr2bl w:val="nil"/>
            </w:tcBorders>
          </w:tcPr>
          <w:p w:rsidR="00E72BC0" w:rsidRPr="006D132F" w:rsidRDefault="00E72BC0" w:rsidP="00901B41">
            <w:pPr>
              <w:pStyle w:val="Tabletext"/>
            </w:pPr>
            <w:proofErr w:type="spellStart"/>
            <w:r w:rsidRPr="006D132F">
              <w:t>Bachelors</w:t>
            </w:r>
            <w:proofErr w:type="spellEnd"/>
            <w:r w:rsidRPr="006D132F">
              <w:t xml:space="preserve"> degrees</w:t>
            </w:r>
          </w:p>
        </w:tc>
        <w:tc>
          <w:tcPr>
            <w:tcW w:w="851" w:type="dxa"/>
            <w:tcBorders>
              <w:top w:val="nil"/>
              <w:left w:val="single" w:sz="4" w:space="0" w:color="7F7F7F"/>
              <w:bottom w:val="nil"/>
              <w:right w:val="single" w:sz="4" w:space="0" w:color="7F7F7F"/>
              <w:tl2br w:val="nil"/>
              <w:tr2bl w:val="nil"/>
            </w:tcBorders>
          </w:tcPr>
          <w:p w:rsidR="00E72BC0" w:rsidRDefault="00E72BC0" w:rsidP="00422202">
            <w:pPr>
              <w:pStyle w:val="Tabletext"/>
              <w:jc w:val="right"/>
              <w:rPr>
                <w:lang w:eastAsia="en-NZ"/>
              </w:rPr>
            </w:pPr>
            <w:r>
              <w:rPr>
                <w:lang w:eastAsia="en-NZ"/>
              </w:rPr>
              <w:t>131,590</w:t>
            </w:r>
          </w:p>
        </w:tc>
        <w:tc>
          <w:tcPr>
            <w:tcW w:w="888" w:type="dxa"/>
            <w:tcBorders>
              <w:top w:val="nil"/>
              <w:left w:val="single" w:sz="4" w:space="0" w:color="7F7F7F"/>
              <w:bottom w:val="nil"/>
              <w:right w:val="single" w:sz="4" w:space="0" w:color="7F7F7F"/>
              <w:tl2br w:val="nil"/>
              <w:tr2bl w:val="nil"/>
            </w:tcBorders>
            <w:vAlign w:val="bottom"/>
          </w:tcPr>
          <w:p w:rsidR="00E72BC0" w:rsidRPr="00E94968" w:rsidRDefault="00E72BC0" w:rsidP="00E94968">
            <w:pPr>
              <w:pStyle w:val="Tabletext"/>
              <w:jc w:val="right"/>
              <w:rPr>
                <w:lang w:eastAsia="en-NZ"/>
              </w:rPr>
            </w:pPr>
            <w:r w:rsidRPr="00E94968">
              <w:rPr>
                <w:lang w:eastAsia="en-NZ"/>
              </w:rPr>
              <w:t xml:space="preserve">129,853 </w:t>
            </w:r>
          </w:p>
        </w:tc>
        <w:tc>
          <w:tcPr>
            <w:tcW w:w="671" w:type="dxa"/>
            <w:tcBorders>
              <w:top w:val="nil"/>
              <w:left w:val="single" w:sz="4" w:space="0" w:color="7F7F7F"/>
              <w:bottom w:val="nil"/>
              <w:right w:val="single" w:sz="4" w:space="0" w:color="7F7F7F"/>
              <w:tl2br w:val="nil"/>
              <w:tr2bl w:val="nil"/>
            </w:tcBorders>
          </w:tcPr>
          <w:p w:rsidR="00E72BC0" w:rsidRDefault="009117EC" w:rsidP="00422202">
            <w:pPr>
              <w:pStyle w:val="Tabletext"/>
              <w:jc w:val="right"/>
              <w:rPr>
                <w:lang w:eastAsia="en-NZ"/>
              </w:rPr>
            </w:pPr>
            <w:r>
              <w:rPr>
                <w:lang w:eastAsia="en-NZ"/>
              </w:rPr>
              <w:t>-</w:t>
            </w:r>
            <w:r w:rsidR="00E72BC0">
              <w:rPr>
                <w:lang w:eastAsia="en-NZ"/>
              </w:rPr>
              <w:t>1.3</w:t>
            </w:r>
          </w:p>
        </w:tc>
        <w:tc>
          <w:tcPr>
            <w:tcW w:w="751" w:type="dxa"/>
            <w:tcBorders>
              <w:top w:val="nil"/>
              <w:left w:val="single" w:sz="4" w:space="0" w:color="7F7F7F"/>
              <w:bottom w:val="nil"/>
              <w:right w:val="single" w:sz="4" w:space="0" w:color="7F7F7F"/>
              <w:tl2br w:val="nil"/>
              <w:tr2bl w:val="nil"/>
            </w:tcBorders>
            <w:vAlign w:val="bottom"/>
          </w:tcPr>
          <w:p w:rsidR="00E72BC0" w:rsidRPr="00E72BC0" w:rsidRDefault="00E72BC0" w:rsidP="00E72BC0">
            <w:pPr>
              <w:pStyle w:val="Tabletext"/>
              <w:jc w:val="right"/>
              <w:rPr>
                <w:lang w:eastAsia="en-NZ"/>
              </w:rPr>
            </w:pPr>
            <w:r w:rsidRPr="00E72BC0">
              <w:rPr>
                <w:lang w:eastAsia="en-NZ"/>
              </w:rPr>
              <w:t xml:space="preserve">17,650 </w:t>
            </w:r>
          </w:p>
        </w:tc>
        <w:tc>
          <w:tcPr>
            <w:tcW w:w="712" w:type="dxa"/>
            <w:tcBorders>
              <w:top w:val="nil"/>
              <w:left w:val="single" w:sz="4" w:space="0" w:color="7F7F7F"/>
              <w:bottom w:val="nil"/>
              <w:right w:val="single" w:sz="4" w:space="0" w:color="7F7F7F"/>
              <w:tl2br w:val="nil"/>
              <w:tr2bl w:val="nil"/>
            </w:tcBorders>
            <w:vAlign w:val="bottom"/>
          </w:tcPr>
          <w:p w:rsidR="00E72BC0" w:rsidRPr="00E72BC0" w:rsidRDefault="00E72BC0" w:rsidP="00E72BC0">
            <w:pPr>
              <w:pStyle w:val="Tabletext"/>
              <w:jc w:val="right"/>
              <w:rPr>
                <w:lang w:eastAsia="en-NZ"/>
              </w:rPr>
            </w:pPr>
            <w:r w:rsidRPr="00E72BC0">
              <w:rPr>
                <w:lang w:eastAsia="en-NZ"/>
              </w:rPr>
              <w:t xml:space="preserve">17,869 </w:t>
            </w:r>
          </w:p>
        </w:tc>
        <w:tc>
          <w:tcPr>
            <w:tcW w:w="663" w:type="dxa"/>
            <w:tcBorders>
              <w:top w:val="nil"/>
              <w:left w:val="single" w:sz="4" w:space="0" w:color="7F7F7F"/>
              <w:bottom w:val="nil"/>
              <w:right w:val="single" w:sz="4" w:space="0" w:color="7F7F7F"/>
              <w:tl2br w:val="nil"/>
              <w:tr2bl w:val="nil"/>
            </w:tcBorders>
          </w:tcPr>
          <w:p w:rsidR="00E72BC0" w:rsidRDefault="00E72BC0" w:rsidP="00E72BC0">
            <w:pPr>
              <w:pStyle w:val="Tabletext"/>
              <w:jc w:val="right"/>
              <w:rPr>
                <w:lang w:eastAsia="en-NZ"/>
              </w:rPr>
            </w:pPr>
            <w:r>
              <w:rPr>
                <w:lang w:eastAsia="en-NZ"/>
              </w:rPr>
              <w:t>+1.2</w:t>
            </w:r>
          </w:p>
        </w:tc>
        <w:tc>
          <w:tcPr>
            <w:tcW w:w="759" w:type="dxa"/>
            <w:tcBorders>
              <w:top w:val="nil"/>
              <w:left w:val="single" w:sz="4" w:space="0" w:color="7F7F7F"/>
              <w:bottom w:val="nil"/>
              <w:right w:val="single" w:sz="4" w:space="0" w:color="7F7F7F"/>
              <w:tl2br w:val="nil"/>
              <w:tr2bl w:val="nil"/>
            </w:tcBorders>
            <w:vAlign w:val="bottom"/>
          </w:tcPr>
          <w:p w:rsidR="00E72BC0" w:rsidRPr="00794D8F" w:rsidRDefault="00E72BC0" w:rsidP="00794D8F">
            <w:pPr>
              <w:pStyle w:val="Tabletext"/>
              <w:jc w:val="right"/>
              <w:rPr>
                <w:lang w:eastAsia="en-NZ"/>
              </w:rPr>
            </w:pPr>
            <w:r w:rsidRPr="00794D8F">
              <w:rPr>
                <w:lang w:eastAsia="en-NZ"/>
              </w:rPr>
              <w:t xml:space="preserve">149,240 </w:t>
            </w:r>
          </w:p>
        </w:tc>
        <w:tc>
          <w:tcPr>
            <w:tcW w:w="711" w:type="dxa"/>
            <w:tcBorders>
              <w:top w:val="nil"/>
              <w:left w:val="single" w:sz="4" w:space="0" w:color="7F7F7F"/>
              <w:bottom w:val="nil"/>
              <w:right w:val="single" w:sz="4" w:space="0" w:color="7F7F7F"/>
              <w:tl2br w:val="nil"/>
              <w:tr2bl w:val="nil"/>
            </w:tcBorders>
            <w:vAlign w:val="bottom"/>
          </w:tcPr>
          <w:p w:rsidR="00E72BC0" w:rsidRPr="00794D8F" w:rsidRDefault="00E72BC0" w:rsidP="00794D8F">
            <w:pPr>
              <w:pStyle w:val="Tabletext"/>
              <w:jc w:val="right"/>
              <w:rPr>
                <w:lang w:eastAsia="en-NZ"/>
              </w:rPr>
            </w:pPr>
            <w:r w:rsidRPr="00794D8F">
              <w:rPr>
                <w:lang w:eastAsia="en-NZ"/>
              </w:rPr>
              <w:t xml:space="preserve">147,722 </w:t>
            </w:r>
          </w:p>
        </w:tc>
        <w:tc>
          <w:tcPr>
            <w:tcW w:w="712" w:type="dxa"/>
            <w:tcBorders>
              <w:top w:val="nil"/>
              <w:left w:val="single" w:sz="4" w:space="0" w:color="7F7F7F"/>
              <w:bottom w:val="nil"/>
              <w:right w:val="single" w:sz="4" w:space="0" w:color="7F7F7F"/>
              <w:tl2br w:val="nil"/>
              <w:tr2bl w:val="nil"/>
            </w:tcBorders>
          </w:tcPr>
          <w:p w:rsidR="00E72BC0" w:rsidRDefault="00794D8F" w:rsidP="00794D8F">
            <w:pPr>
              <w:pStyle w:val="Tabletext"/>
              <w:jc w:val="right"/>
              <w:rPr>
                <w:lang w:eastAsia="en-NZ"/>
              </w:rPr>
            </w:pPr>
            <w:r>
              <w:rPr>
                <w:lang w:eastAsia="en-NZ"/>
              </w:rPr>
              <w:t>-</w:t>
            </w:r>
            <w:r w:rsidR="00E72BC0">
              <w:rPr>
                <w:lang w:eastAsia="en-NZ"/>
              </w:rPr>
              <w:t>1.</w:t>
            </w:r>
            <w:r>
              <w:rPr>
                <w:lang w:eastAsia="en-NZ"/>
              </w:rPr>
              <w:t>0</w:t>
            </w:r>
          </w:p>
        </w:tc>
      </w:tr>
      <w:tr w:rsidR="00E72BC0" w:rsidTr="00E72BC0">
        <w:trPr>
          <w:trHeight w:val="57"/>
        </w:trPr>
        <w:tc>
          <w:tcPr>
            <w:tcW w:w="1843" w:type="dxa"/>
            <w:tcBorders>
              <w:top w:val="nil"/>
              <w:left w:val="single" w:sz="4" w:space="0" w:color="7F7F7F"/>
              <w:bottom w:val="nil"/>
              <w:right w:val="single" w:sz="4" w:space="0" w:color="7F7F7F"/>
              <w:tl2br w:val="nil"/>
              <w:tr2bl w:val="nil"/>
            </w:tcBorders>
            <w:shd w:val="clear" w:color="auto" w:fill="C2D8EA"/>
          </w:tcPr>
          <w:p w:rsidR="00E72BC0" w:rsidRPr="006D132F" w:rsidRDefault="00E72BC0" w:rsidP="00901B41">
            <w:pPr>
              <w:pStyle w:val="Tabletext"/>
            </w:pPr>
            <w:r w:rsidRPr="006D132F">
              <w:t xml:space="preserve">Graduate </w:t>
            </w:r>
            <w:proofErr w:type="spellStart"/>
            <w:r w:rsidRPr="006D132F">
              <w:t>certs</w:t>
            </w:r>
            <w:proofErr w:type="spellEnd"/>
            <w:r w:rsidRPr="006D132F">
              <w:t>/dips</w:t>
            </w:r>
          </w:p>
        </w:tc>
        <w:tc>
          <w:tcPr>
            <w:tcW w:w="851" w:type="dxa"/>
            <w:tcBorders>
              <w:top w:val="nil"/>
              <w:left w:val="single" w:sz="4" w:space="0" w:color="7F7F7F"/>
              <w:bottom w:val="nil"/>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11,429</w:t>
            </w:r>
          </w:p>
        </w:tc>
        <w:tc>
          <w:tcPr>
            <w:tcW w:w="888" w:type="dxa"/>
            <w:tcBorders>
              <w:top w:val="nil"/>
              <w:left w:val="single" w:sz="4" w:space="0" w:color="7F7F7F"/>
              <w:bottom w:val="nil"/>
              <w:right w:val="single" w:sz="4" w:space="0" w:color="7F7F7F"/>
              <w:tl2br w:val="nil"/>
              <w:tr2bl w:val="nil"/>
            </w:tcBorders>
            <w:shd w:val="clear" w:color="auto" w:fill="C2D8EA"/>
            <w:vAlign w:val="bottom"/>
          </w:tcPr>
          <w:p w:rsidR="00E72BC0" w:rsidRPr="00E94968" w:rsidRDefault="00E72BC0" w:rsidP="00E94968">
            <w:pPr>
              <w:pStyle w:val="Tabletext"/>
              <w:jc w:val="right"/>
              <w:rPr>
                <w:lang w:eastAsia="en-NZ"/>
              </w:rPr>
            </w:pPr>
            <w:r w:rsidRPr="00E94968">
              <w:rPr>
                <w:lang w:eastAsia="en-NZ"/>
              </w:rPr>
              <w:t xml:space="preserve">11,147 </w:t>
            </w:r>
          </w:p>
        </w:tc>
        <w:tc>
          <w:tcPr>
            <w:tcW w:w="671" w:type="dxa"/>
            <w:tcBorders>
              <w:top w:val="nil"/>
              <w:left w:val="single" w:sz="4" w:space="0" w:color="7F7F7F"/>
              <w:bottom w:val="nil"/>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-2.5</w:t>
            </w:r>
          </w:p>
        </w:tc>
        <w:tc>
          <w:tcPr>
            <w:tcW w:w="751" w:type="dxa"/>
            <w:tcBorders>
              <w:top w:val="nil"/>
              <w:left w:val="single" w:sz="4" w:space="0" w:color="7F7F7F"/>
              <w:bottom w:val="nil"/>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2,270 </w:t>
            </w:r>
          </w:p>
        </w:tc>
        <w:tc>
          <w:tcPr>
            <w:tcW w:w="712" w:type="dxa"/>
            <w:tcBorders>
              <w:top w:val="nil"/>
              <w:left w:val="single" w:sz="4" w:space="0" w:color="7F7F7F"/>
              <w:bottom w:val="nil"/>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2,557 </w:t>
            </w:r>
          </w:p>
        </w:tc>
        <w:tc>
          <w:tcPr>
            <w:tcW w:w="663" w:type="dxa"/>
            <w:tcBorders>
              <w:top w:val="nil"/>
              <w:left w:val="single" w:sz="4" w:space="0" w:color="7F7F7F"/>
              <w:bottom w:val="nil"/>
              <w:right w:val="single" w:sz="4" w:space="0" w:color="7F7F7F"/>
              <w:tl2br w:val="nil"/>
              <w:tr2bl w:val="nil"/>
            </w:tcBorders>
            <w:shd w:val="clear" w:color="auto" w:fill="C2D8EA"/>
          </w:tcPr>
          <w:p w:rsidR="00E72BC0" w:rsidRDefault="00E72BC0" w:rsidP="00E72BC0">
            <w:pPr>
              <w:pStyle w:val="Tabletext"/>
              <w:jc w:val="right"/>
              <w:rPr>
                <w:lang w:eastAsia="en-NZ"/>
              </w:rPr>
            </w:pPr>
            <w:r>
              <w:rPr>
                <w:lang w:eastAsia="en-NZ"/>
              </w:rPr>
              <w:t>+12.6</w:t>
            </w:r>
          </w:p>
        </w:tc>
        <w:tc>
          <w:tcPr>
            <w:tcW w:w="759" w:type="dxa"/>
            <w:tcBorders>
              <w:top w:val="nil"/>
              <w:left w:val="single" w:sz="4" w:space="0" w:color="7F7F7F"/>
              <w:bottom w:val="nil"/>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13,699 </w:t>
            </w:r>
          </w:p>
        </w:tc>
        <w:tc>
          <w:tcPr>
            <w:tcW w:w="711" w:type="dxa"/>
            <w:tcBorders>
              <w:top w:val="nil"/>
              <w:left w:val="single" w:sz="4" w:space="0" w:color="7F7F7F"/>
              <w:bottom w:val="nil"/>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13,704 </w:t>
            </w:r>
          </w:p>
        </w:tc>
        <w:tc>
          <w:tcPr>
            <w:tcW w:w="712" w:type="dxa"/>
            <w:tcBorders>
              <w:top w:val="nil"/>
              <w:left w:val="single" w:sz="4" w:space="0" w:color="7F7F7F"/>
              <w:bottom w:val="nil"/>
              <w:right w:val="single" w:sz="4" w:space="0" w:color="7F7F7F"/>
              <w:tl2br w:val="nil"/>
              <w:tr2bl w:val="nil"/>
            </w:tcBorders>
            <w:shd w:val="clear" w:color="auto" w:fill="C2D8EA"/>
          </w:tcPr>
          <w:p w:rsidR="00E72BC0" w:rsidRDefault="00767FF4" w:rsidP="00ED5C86">
            <w:pPr>
              <w:pStyle w:val="Tabletext"/>
              <w:jc w:val="right"/>
              <w:rPr>
                <w:lang w:eastAsia="en-NZ"/>
              </w:rPr>
            </w:pPr>
            <w:r>
              <w:rPr>
                <w:lang w:eastAsia="en-NZ"/>
              </w:rPr>
              <w:t>0.0</w:t>
            </w:r>
          </w:p>
        </w:tc>
      </w:tr>
      <w:tr w:rsidR="00E72BC0" w:rsidTr="00E72BC0">
        <w:trPr>
          <w:trHeight w:val="57"/>
        </w:trPr>
        <w:tc>
          <w:tcPr>
            <w:tcW w:w="1843" w:type="dxa"/>
            <w:tcBorders>
              <w:top w:val="nil"/>
              <w:left w:val="single" w:sz="4" w:space="0" w:color="7F7F7F"/>
              <w:bottom w:val="nil"/>
              <w:right w:val="single" w:sz="4" w:space="0" w:color="7F7F7F"/>
              <w:tl2br w:val="nil"/>
              <w:tr2bl w:val="nil"/>
            </w:tcBorders>
          </w:tcPr>
          <w:p w:rsidR="00E72BC0" w:rsidRPr="006D132F" w:rsidRDefault="00E72BC0" w:rsidP="00901B41">
            <w:pPr>
              <w:pStyle w:val="Tabletext"/>
            </w:pPr>
            <w:r w:rsidRPr="006D132F">
              <w:t>Honours*</w:t>
            </w:r>
          </w:p>
        </w:tc>
        <w:tc>
          <w:tcPr>
            <w:tcW w:w="851" w:type="dxa"/>
            <w:tcBorders>
              <w:top w:val="nil"/>
              <w:left w:val="single" w:sz="4" w:space="0" w:color="7F7F7F"/>
              <w:bottom w:val="nil"/>
              <w:right w:val="single" w:sz="4" w:space="0" w:color="7F7F7F"/>
              <w:tl2br w:val="nil"/>
              <w:tr2bl w:val="nil"/>
            </w:tcBorders>
          </w:tcPr>
          <w:p w:rsidR="00E72BC0" w:rsidRDefault="00E72BC0" w:rsidP="00422202">
            <w:pPr>
              <w:pStyle w:val="Tabletext"/>
              <w:jc w:val="right"/>
              <w:rPr>
                <w:lang w:eastAsia="en-NZ"/>
              </w:rPr>
            </w:pPr>
            <w:r>
              <w:rPr>
                <w:lang w:eastAsia="en-NZ"/>
              </w:rPr>
              <w:t>23,259</w:t>
            </w:r>
          </w:p>
        </w:tc>
        <w:tc>
          <w:tcPr>
            <w:tcW w:w="888" w:type="dxa"/>
            <w:tcBorders>
              <w:top w:val="nil"/>
              <w:left w:val="single" w:sz="4" w:space="0" w:color="7F7F7F"/>
              <w:bottom w:val="nil"/>
              <w:right w:val="single" w:sz="4" w:space="0" w:color="7F7F7F"/>
              <w:tl2br w:val="nil"/>
              <w:tr2bl w:val="nil"/>
            </w:tcBorders>
            <w:vAlign w:val="bottom"/>
          </w:tcPr>
          <w:p w:rsidR="00E72BC0" w:rsidRPr="00E94968" w:rsidRDefault="00E72BC0" w:rsidP="00E94968">
            <w:pPr>
              <w:pStyle w:val="Tabletext"/>
              <w:jc w:val="right"/>
              <w:rPr>
                <w:lang w:eastAsia="en-NZ"/>
              </w:rPr>
            </w:pPr>
            <w:r w:rsidRPr="00E94968">
              <w:rPr>
                <w:lang w:eastAsia="en-NZ"/>
              </w:rPr>
              <w:t xml:space="preserve">23,360 </w:t>
            </w:r>
          </w:p>
        </w:tc>
        <w:tc>
          <w:tcPr>
            <w:tcW w:w="671" w:type="dxa"/>
            <w:tcBorders>
              <w:top w:val="nil"/>
              <w:left w:val="single" w:sz="4" w:space="0" w:color="7F7F7F"/>
              <w:bottom w:val="nil"/>
              <w:right w:val="single" w:sz="4" w:space="0" w:color="7F7F7F"/>
              <w:tl2br w:val="nil"/>
              <w:tr2bl w:val="nil"/>
            </w:tcBorders>
          </w:tcPr>
          <w:p w:rsidR="00E72BC0" w:rsidRDefault="00E72BC0" w:rsidP="00422202">
            <w:pPr>
              <w:pStyle w:val="Tabletext"/>
              <w:jc w:val="right"/>
              <w:rPr>
                <w:lang w:eastAsia="en-NZ"/>
              </w:rPr>
            </w:pPr>
            <w:r>
              <w:rPr>
                <w:lang w:eastAsia="en-NZ"/>
              </w:rPr>
              <w:t>+0.4</w:t>
            </w:r>
          </w:p>
        </w:tc>
        <w:tc>
          <w:tcPr>
            <w:tcW w:w="751" w:type="dxa"/>
            <w:tcBorders>
              <w:top w:val="nil"/>
              <w:left w:val="single" w:sz="4" w:space="0" w:color="7F7F7F"/>
              <w:bottom w:val="nil"/>
              <w:right w:val="single" w:sz="4" w:space="0" w:color="7F7F7F"/>
              <w:tl2br w:val="nil"/>
              <w:tr2bl w:val="nil"/>
            </w:tcBorders>
            <w:vAlign w:val="bottom"/>
          </w:tcPr>
          <w:p w:rsidR="00E72BC0" w:rsidRPr="00E72BC0" w:rsidRDefault="00E72BC0" w:rsidP="00E72BC0">
            <w:pPr>
              <w:pStyle w:val="Tabletext"/>
              <w:jc w:val="right"/>
              <w:rPr>
                <w:lang w:eastAsia="en-NZ"/>
              </w:rPr>
            </w:pPr>
            <w:r w:rsidRPr="00E72BC0">
              <w:rPr>
                <w:lang w:eastAsia="en-NZ"/>
              </w:rPr>
              <w:t xml:space="preserve">2,873 </w:t>
            </w:r>
          </w:p>
        </w:tc>
        <w:tc>
          <w:tcPr>
            <w:tcW w:w="712" w:type="dxa"/>
            <w:tcBorders>
              <w:top w:val="nil"/>
              <w:left w:val="single" w:sz="4" w:space="0" w:color="7F7F7F"/>
              <w:bottom w:val="nil"/>
              <w:right w:val="single" w:sz="4" w:space="0" w:color="7F7F7F"/>
              <w:tl2br w:val="nil"/>
              <w:tr2bl w:val="nil"/>
            </w:tcBorders>
            <w:vAlign w:val="bottom"/>
          </w:tcPr>
          <w:p w:rsidR="00E72BC0" w:rsidRPr="00E72BC0" w:rsidRDefault="00E72BC0" w:rsidP="00E72BC0">
            <w:pPr>
              <w:pStyle w:val="Tabletext"/>
              <w:jc w:val="right"/>
              <w:rPr>
                <w:lang w:eastAsia="en-NZ"/>
              </w:rPr>
            </w:pPr>
            <w:r w:rsidRPr="00E72BC0">
              <w:rPr>
                <w:lang w:eastAsia="en-NZ"/>
              </w:rPr>
              <w:t xml:space="preserve">3,030 </w:t>
            </w:r>
          </w:p>
        </w:tc>
        <w:tc>
          <w:tcPr>
            <w:tcW w:w="663" w:type="dxa"/>
            <w:tcBorders>
              <w:top w:val="nil"/>
              <w:left w:val="single" w:sz="4" w:space="0" w:color="7F7F7F"/>
              <w:bottom w:val="nil"/>
              <w:right w:val="single" w:sz="4" w:space="0" w:color="7F7F7F"/>
              <w:tl2br w:val="nil"/>
              <w:tr2bl w:val="nil"/>
            </w:tcBorders>
          </w:tcPr>
          <w:p w:rsidR="00E72BC0" w:rsidRDefault="00E72BC0" w:rsidP="00E72BC0">
            <w:pPr>
              <w:pStyle w:val="Tabletext"/>
              <w:jc w:val="right"/>
              <w:rPr>
                <w:lang w:eastAsia="en-NZ"/>
              </w:rPr>
            </w:pPr>
            <w:r>
              <w:rPr>
                <w:lang w:eastAsia="en-NZ"/>
              </w:rPr>
              <w:t>+5.5</w:t>
            </w:r>
          </w:p>
        </w:tc>
        <w:tc>
          <w:tcPr>
            <w:tcW w:w="759" w:type="dxa"/>
            <w:tcBorders>
              <w:top w:val="nil"/>
              <w:left w:val="single" w:sz="4" w:space="0" w:color="7F7F7F"/>
              <w:bottom w:val="nil"/>
              <w:right w:val="single" w:sz="4" w:space="0" w:color="7F7F7F"/>
              <w:tl2br w:val="nil"/>
              <w:tr2bl w:val="nil"/>
            </w:tcBorders>
            <w:vAlign w:val="bottom"/>
          </w:tcPr>
          <w:p w:rsidR="00E72BC0" w:rsidRPr="00794D8F" w:rsidRDefault="00E72BC0" w:rsidP="00794D8F">
            <w:pPr>
              <w:pStyle w:val="Tabletext"/>
              <w:jc w:val="right"/>
              <w:rPr>
                <w:lang w:eastAsia="en-NZ"/>
              </w:rPr>
            </w:pPr>
            <w:r w:rsidRPr="00794D8F">
              <w:rPr>
                <w:lang w:eastAsia="en-NZ"/>
              </w:rPr>
              <w:t xml:space="preserve">26,132 </w:t>
            </w:r>
          </w:p>
        </w:tc>
        <w:tc>
          <w:tcPr>
            <w:tcW w:w="711" w:type="dxa"/>
            <w:tcBorders>
              <w:top w:val="nil"/>
              <w:left w:val="single" w:sz="4" w:space="0" w:color="7F7F7F"/>
              <w:bottom w:val="nil"/>
              <w:right w:val="single" w:sz="4" w:space="0" w:color="7F7F7F"/>
              <w:tl2br w:val="nil"/>
              <w:tr2bl w:val="nil"/>
            </w:tcBorders>
            <w:vAlign w:val="bottom"/>
          </w:tcPr>
          <w:p w:rsidR="00E72BC0" w:rsidRPr="00794D8F" w:rsidRDefault="00E72BC0" w:rsidP="00794D8F">
            <w:pPr>
              <w:pStyle w:val="Tabletext"/>
              <w:jc w:val="right"/>
              <w:rPr>
                <w:lang w:eastAsia="en-NZ"/>
              </w:rPr>
            </w:pPr>
            <w:r w:rsidRPr="00794D8F">
              <w:rPr>
                <w:lang w:eastAsia="en-NZ"/>
              </w:rPr>
              <w:t xml:space="preserve">26,390 </w:t>
            </w:r>
          </w:p>
        </w:tc>
        <w:tc>
          <w:tcPr>
            <w:tcW w:w="712" w:type="dxa"/>
            <w:tcBorders>
              <w:top w:val="nil"/>
              <w:left w:val="single" w:sz="4" w:space="0" w:color="7F7F7F"/>
              <w:bottom w:val="nil"/>
              <w:right w:val="single" w:sz="4" w:space="0" w:color="7F7F7F"/>
              <w:tl2br w:val="nil"/>
              <w:tr2bl w:val="nil"/>
            </w:tcBorders>
          </w:tcPr>
          <w:p w:rsidR="00E72BC0" w:rsidRDefault="00767FF4" w:rsidP="00794D8F">
            <w:pPr>
              <w:pStyle w:val="Tabletext"/>
              <w:jc w:val="right"/>
              <w:rPr>
                <w:lang w:eastAsia="en-NZ"/>
              </w:rPr>
            </w:pPr>
            <w:r>
              <w:rPr>
                <w:lang w:eastAsia="en-NZ"/>
              </w:rPr>
              <w:t>+1</w:t>
            </w:r>
            <w:r w:rsidR="00794D8F">
              <w:rPr>
                <w:lang w:eastAsia="en-NZ"/>
              </w:rPr>
              <w:t>.0</w:t>
            </w:r>
          </w:p>
        </w:tc>
      </w:tr>
      <w:tr w:rsidR="00E72BC0" w:rsidTr="00E72BC0">
        <w:trPr>
          <w:trHeight w:val="57"/>
        </w:trPr>
        <w:tc>
          <w:tcPr>
            <w:tcW w:w="1843" w:type="dxa"/>
            <w:tcBorders>
              <w:top w:val="nil"/>
              <w:left w:val="single" w:sz="4" w:space="0" w:color="7F7F7F"/>
              <w:bottom w:val="nil"/>
              <w:right w:val="single" w:sz="4" w:space="0" w:color="7F7F7F"/>
              <w:tl2br w:val="nil"/>
              <w:tr2bl w:val="nil"/>
            </w:tcBorders>
            <w:shd w:val="clear" w:color="auto" w:fill="C2D8EA"/>
          </w:tcPr>
          <w:p w:rsidR="00E72BC0" w:rsidRPr="006D132F" w:rsidRDefault="00E72BC0" w:rsidP="00901B41">
            <w:pPr>
              <w:pStyle w:val="Tabletext"/>
            </w:pPr>
            <w:r w:rsidRPr="006D132F">
              <w:t>Masters</w:t>
            </w:r>
          </w:p>
        </w:tc>
        <w:tc>
          <w:tcPr>
            <w:tcW w:w="851" w:type="dxa"/>
            <w:tcBorders>
              <w:top w:val="nil"/>
              <w:left w:val="single" w:sz="4" w:space="0" w:color="7F7F7F"/>
              <w:bottom w:val="nil"/>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11,831</w:t>
            </w:r>
          </w:p>
        </w:tc>
        <w:tc>
          <w:tcPr>
            <w:tcW w:w="888" w:type="dxa"/>
            <w:tcBorders>
              <w:top w:val="nil"/>
              <w:left w:val="single" w:sz="4" w:space="0" w:color="7F7F7F"/>
              <w:bottom w:val="nil"/>
              <w:right w:val="single" w:sz="4" w:space="0" w:color="7F7F7F"/>
              <w:tl2br w:val="nil"/>
              <w:tr2bl w:val="nil"/>
            </w:tcBorders>
            <w:shd w:val="clear" w:color="auto" w:fill="C2D8EA"/>
            <w:vAlign w:val="bottom"/>
          </w:tcPr>
          <w:p w:rsidR="00E72BC0" w:rsidRPr="00E94968" w:rsidRDefault="00E72BC0" w:rsidP="00E94968">
            <w:pPr>
              <w:pStyle w:val="Tabletext"/>
              <w:jc w:val="right"/>
              <w:rPr>
                <w:lang w:eastAsia="en-NZ"/>
              </w:rPr>
            </w:pPr>
            <w:r w:rsidRPr="00E94968">
              <w:rPr>
                <w:lang w:eastAsia="en-NZ"/>
              </w:rPr>
              <w:t xml:space="preserve">11,913 </w:t>
            </w:r>
          </w:p>
        </w:tc>
        <w:tc>
          <w:tcPr>
            <w:tcW w:w="671" w:type="dxa"/>
            <w:tcBorders>
              <w:top w:val="nil"/>
              <w:left w:val="single" w:sz="4" w:space="0" w:color="7F7F7F"/>
              <w:bottom w:val="nil"/>
              <w:right w:val="single" w:sz="4" w:space="0" w:color="7F7F7F"/>
              <w:tl2br w:val="nil"/>
              <w:tr2bl w:val="nil"/>
            </w:tcBorders>
            <w:shd w:val="clear" w:color="auto" w:fill="C2D8EA"/>
          </w:tcPr>
          <w:p w:rsidR="00E72BC0" w:rsidRDefault="00767FF4" w:rsidP="00422202">
            <w:pPr>
              <w:pStyle w:val="Tabletext"/>
              <w:jc w:val="right"/>
              <w:rPr>
                <w:lang w:eastAsia="en-NZ"/>
              </w:rPr>
            </w:pPr>
            <w:r>
              <w:rPr>
                <w:lang w:eastAsia="en-NZ"/>
              </w:rPr>
              <w:t>+0.7</w:t>
            </w:r>
          </w:p>
        </w:tc>
        <w:tc>
          <w:tcPr>
            <w:tcW w:w="751" w:type="dxa"/>
            <w:tcBorders>
              <w:top w:val="nil"/>
              <w:left w:val="single" w:sz="4" w:space="0" w:color="7F7F7F"/>
              <w:bottom w:val="nil"/>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2,486 </w:t>
            </w:r>
          </w:p>
        </w:tc>
        <w:tc>
          <w:tcPr>
            <w:tcW w:w="712" w:type="dxa"/>
            <w:tcBorders>
              <w:top w:val="nil"/>
              <w:left w:val="single" w:sz="4" w:space="0" w:color="7F7F7F"/>
              <w:bottom w:val="nil"/>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2,927 </w:t>
            </w:r>
          </w:p>
        </w:tc>
        <w:tc>
          <w:tcPr>
            <w:tcW w:w="663" w:type="dxa"/>
            <w:tcBorders>
              <w:top w:val="nil"/>
              <w:left w:val="single" w:sz="4" w:space="0" w:color="7F7F7F"/>
              <w:bottom w:val="nil"/>
              <w:right w:val="single" w:sz="4" w:space="0" w:color="7F7F7F"/>
              <w:tl2br w:val="nil"/>
              <w:tr2bl w:val="nil"/>
            </w:tcBorders>
            <w:shd w:val="clear" w:color="auto" w:fill="C2D8EA"/>
          </w:tcPr>
          <w:p w:rsidR="00E72BC0" w:rsidRDefault="00E72BC0" w:rsidP="00E72BC0">
            <w:pPr>
              <w:pStyle w:val="Tabletext"/>
              <w:jc w:val="right"/>
              <w:rPr>
                <w:lang w:eastAsia="en-NZ"/>
              </w:rPr>
            </w:pPr>
            <w:r>
              <w:rPr>
                <w:lang w:eastAsia="en-NZ"/>
              </w:rPr>
              <w:t>+17.7</w:t>
            </w:r>
          </w:p>
        </w:tc>
        <w:tc>
          <w:tcPr>
            <w:tcW w:w="759" w:type="dxa"/>
            <w:tcBorders>
              <w:top w:val="nil"/>
              <w:left w:val="single" w:sz="4" w:space="0" w:color="7F7F7F"/>
              <w:bottom w:val="nil"/>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14,317 </w:t>
            </w:r>
          </w:p>
        </w:tc>
        <w:tc>
          <w:tcPr>
            <w:tcW w:w="711" w:type="dxa"/>
            <w:tcBorders>
              <w:top w:val="nil"/>
              <w:left w:val="single" w:sz="4" w:space="0" w:color="7F7F7F"/>
              <w:bottom w:val="nil"/>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14,840 </w:t>
            </w:r>
          </w:p>
        </w:tc>
        <w:tc>
          <w:tcPr>
            <w:tcW w:w="712" w:type="dxa"/>
            <w:tcBorders>
              <w:top w:val="nil"/>
              <w:left w:val="single" w:sz="4" w:space="0" w:color="7F7F7F"/>
              <w:bottom w:val="nil"/>
              <w:right w:val="single" w:sz="4" w:space="0" w:color="7F7F7F"/>
              <w:tl2br w:val="nil"/>
              <w:tr2bl w:val="nil"/>
            </w:tcBorders>
            <w:shd w:val="clear" w:color="auto" w:fill="C2D8EA"/>
          </w:tcPr>
          <w:p w:rsidR="00E72BC0" w:rsidRDefault="00794D8F" w:rsidP="00767FF4">
            <w:pPr>
              <w:pStyle w:val="Tabletext"/>
              <w:jc w:val="right"/>
              <w:rPr>
                <w:lang w:eastAsia="en-NZ"/>
              </w:rPr>
            </w:pPr>
            <w:r>
              <w:rPr>
                <w:lang w:eastAsia="en-NZ"/>
              </w:rPr>
              <w:t>+</w:t>
            </w:r>
            <w:r w:rsidR="00767FF4">
              <w:rPr>
                <w:lang w:eastAsia="en-NZ"/>
              </w:rPr>
              <w:t>3.7</w:t>
            </w:r>
          </w:p>
        </w:tc>
      </w:tr>
      <w:tr w:rsidR="00E72BC0" w:rsidTr="00E72BC0">
        <w:trPr>
          <w:trHeight w:val="57"/>
        </w:trPr>
        <w:tc>
          <w:tcPr>
            <w:tcW w:w="1843" w:type="dxa"/>
            <w:tcBorders>
              <w:top w:val="nil"/>
              <w:left w:val="single" w:sz="4" w:space="0" w:color="7F7F7F"/>
              <w:bottom w:val="nil"/>
              <w:right w:val="single" w:sz="4" w:space="0" w:color="7F7F7F"/>
              <w:tl2br w:val="nil"/>
              <w:tr2bl w:val="nil"/>
            </w:tcBorders>
          </w:tcPr>
          <w:p w:rsidR="00E72BC0" w:rsidRPr="006D132F" w:rsidRDefault="00E72BC0" w:rsidP="00901B41">
            <w:pPr>
              <w:pStyle w:val="Tabletext"/>
            </w:pPr>
            <w:r w:rsidRPr="006D132F">
              <w:t>Doctorates</w:t>
            </w:r>
          </w:p>
        </w:tc>
        <w:tc>
          <w:tcPr>
            <w:tcW w:w="851" w:type="dxa"/>
            <w:tcBorders>
              <w:top w:val="nil"/>
              <w:left w:val="single" w:sz="4" w:space="0" w:color="7F7F7F"/>
              <w:bottom w:val="nil"/>
              <w:right w:val="single" w:sz="4" w:space="0" w:color="7F7F7F"/>
              <w:tl2br w:val="nil"/>
              <w:tr2bl w:val="nil"/>
            </w:tcBorders>
          </w:tcPr>
          <w:p w:rsidR="00E72BC0" w:rsidRDefault="00E72BC0" w:rsidP="00422202">
            <w:pPr>
              <w:pStyle w:val="Tabletext"/>
              <w:jc w:val="right"/>
              <w:rPr>
                <w:lang w:eastAsia="en-NZ"/>
              </w:rPr>
            </w:pPr>
            <w:r>
              <w:rPr>
                <w:lang w:eastAsia="en-NZ"/>
              </w:rPr>
              <w:t>5,116</w:t>
            </w:r>
          </w:p>
        </w:tc>
        <w:tc>
          <w:tcPr>
            <w:tcW w:w="888" w:type="dxa"/>
            <w:tcBorders>
              <w:top w:val="nil"/>
              <w:left w:val="single" w:sz="4" w:space="0" w:color="7F7F7F"/>
              <w:bottom w:val="nil"/>
              <w:right w:val="single" w:sz="4" w:space="0" w:color="7F7F7F"/>
              <w:tl2br w:val="nil"/>
              <w:tr2bl w:val="nil"/>
            </w:tcBorders>
            <w:vAlign w:val="bottom"/>
          </w:tcPr>
          <w:p w:rsidR="00E72BC0" w:rsidRPr="00E94968" w:rsidRDefault="00E72BC0" w:rsidP="00E94968">
            <w:pPr>
              <w:pStyle w:val="Tabletext"/>
              <w:jc w:val="right"/>
              <w:rPr>
                <w:lang w:eastAsia="en-NZ"/>
              </w:rPr>
            </w:pPr>
            <w:r w:rsidRPr="00E94968">
              <w:rPr>
                <w:lang w:eastAsia="en-NZ"/>
              </w:rPr>
              <w:t xml:space="preserve">5,052 </w:t>
            </w:r>
          </w:p>
        </w:tc>
        <w:tc>
          <w:tcPr>
            <w:tcW w:w="671" w:type="dxa"/>
            <w:tcBorders>
              <w:top w:val="nil"/>
              <w:left w:val="single" w:sz="4" w:space="0" w:color="7F7F7F"/>
              <w:bottom w:val="nil"/>
              <w:right w:val="single" w:sz="4" w:space="0" w:color="7F7F7F"/>
              <w:tl2br w:val="nil"/>
              <w:tr2bl w:val="nil"/>
            </w:tcBorders>
          </w:tcPr>
          <w:p w:rsidR="00E72BC0" w:rsidRDefault="00E72BC0" w:rsidP="00422202">
            <w:pPr>
              <w:pStyle w:val="Tabletext"/>
              <w:jc w:val="right"/>
              <w:rPr>
                <w:lang w:eastAsia="en-NZ"/>
              </w:rPr>
            </w:pPr>
            <w:r>
              <w:rPr>
                <w:lang w:eastAsia="en-NZ"/>
              </w:rPr>
              <w:t>-1.3</w:t>
            </w:r>
          </w:p>
        </w:tc>
        <w:tc>
          <w:tcPr>
            <w:tcW w:w="751" w:type="dxa"/>
            <w:tcBorders>
              <w:top w:val="nil"/>
              <w:left w:val="single" w:sz="4" w:space="0" w:color="7F7F7F"/>
              <w:bottom w:val="nil"/>
              <w:right w:val="single" w:sz="4" w:space="0" w:color="7F7F7F"/>
              <w:tl2br w:val="nil"/>
              <w:tr2bl w:val="nil"/>
            </w:tcBorders>
            <w:vAlign w:val="bottom"/>
          </w:tcPr>
          <w:p w:rsidR="00E72BC0" w:rsidRPr="00E72BC0" w:rsidRDefault="00E72BC0" w:rsidP="00E72BC0">
            <w:pPr>
              <w:pStyle w:val="Tabletext"/>
              <w:jc w:val="right"/>
              <w:rPr>
                <w:lang w:eastAsia="en-NZ"/>
              </w:rPr>
            </w:pPr>
            <w:r w:rsidRPr="00E72BC0">
              <w:rPr>
                <w:lang w:eastAsia="en-NZ"/>
              </w:rPr>
              <w:t xml:space="preserve">3,354 </w:t>
            </w:r>
          </w:p>
        </w:tc>
        <w:tc>
          <w:tcPr>
            <w:tcW w:w="712" w:type="dxa"/>
            <w:tcBorders>
              <w:top w:val="nil"/>
              <w:left w:val="single" w:sz="4" w:space="0" w:color="7F7F7F"/>
              <w:bottom w:val="nil"/>
              <w:right w:val="single" w:sz="4" w:space="0" w:color="7F7F7F"/>
              <w:tl2br w:val="nil"/>
              <w:tr2bl w:val="nil"/>
            </w:tcBorders>
            <w:vAlign w:val="bottom"/>
          </w:tcPr>
          <w:p w:rsidR="00E72BC0" w:rsidRPr="00E72BC0" w:rsidRDefault="00E72BC0" w:rsidP="00E72BC0">
            <w:pPr>
              <w:pStyle w:val="Tabletext"/>
              <w:jc w:val="right"/>
              <w:rPr>
                <w:lang w:eastAsia="en-NZ"/>
              </w:rPr>
            </w:pPr>
            <w:r w:rsidRPr="00E72BC0">
              <w:rPr>
                <w:lang w:eastAsia="en-NZ"/>
              </w:rPr>
              <w:t xml:space="preserve">3,654 </w:t>
            </w:r>
          </w:p>
        </w:tc>
        <w:tc>
          <w:tcPr>
            <w:tcW w:w="663" w:type="dxa"/>
            <w:tcBorders>
              <w:top w:val="nil"/>
              <w:left w:val="single" w:sz="4" w:space="0" w:color="7F7F7F"/>
              <w:bottom w:val="nil"/>
              <w:right w:val="single" w:sz="4" w:space="0" w:color="7F7F7F"/>
              <w:tl2br w:val="nil"/>
              <w:tr2bl w:val="nil"/>
            </w:tcBorders>
          </w:tcPr>
          <w:p w:rsidR="00E72BC0" w:rsidRDefault="00E72BC0" w:rsidP="00E72BC0">
            <w:pPr>
              <w:pStyle w:val="Tabletext"/>
              <w:jc w:val="right"/>
              <w:rPr>
                <w:lang w:eastAsia="en-NZ"/>
              </w:rPr>
            </w:pPr>
            <w:r>
              <w:rPr>
                <w:lang w:eastAsia="en-NZ"/>
              </w:rPr>
              <w:t>+8.9</w:t>
            </w:r>
          </w:p>
        </w:tc>
        <w:tc>
          <w:tcPr>
            <w:tcW w:w="759" w:type="dxa"/>
            <w:tcBorders>
              <w:top w:val="nil"/>
              <w:left w:val="single" w:sz="4" w:space="0" w:color="7F7F7F"/>
              <w:bottom w:val="nil"/>
              <w:right w:val="single" w:sz="4" w:space="0" w:color="7F7F7F"/>
              <w:tl2br w:val="nil"/>
              <w:tr2bl w:val="nil"/>
            </w:tcBorders>
            <w:vAlign w:val="bottom"/>
          </w:tcPr>
          <w:p w:rsidR="00E72BC0" w:rsidRPr="00794D8F" w:rsidRDefault="00E72BC0" w:rsidP="00794D8F">
            <w:pPr>
              <w:pStyle w:val="Tabletext"/>
              <w:jc w:val="right"/>
              <w:rPr>
                <w:lang w:eastAsia="en-NZ"/>
              </w:rPr>
            </w:pPr>
            <w:r w:rsidRPr="00794D8F">
              <w:rPr>
                <w:lang w:eastAsia="en-NZ"/>
              </w:rPr>
              <w:t xml:space="preserve">8,470 </w:t>
            </w:r>
          </w:p>
        </w:tc>
        <w:tc>
          <w:tcPr>
            <w:tcW w:w="711" w:type="dxa"/>
            <w:tcBorders>
              <w:top w:val="nil"/>
              <w:left w:val="single" w:sz="4" w:space="0" w:color="7F7F7F"/>
              <w:bottom w:val="nil"/>
              <w:right w:val="single" w:sz="4" w:space="0" w:color="7F7F7F"/>
              <w:tl2br w:val="nil"/>
              <w:tr2bl w:val="nil"/>
            </w:tcBorders>
            <w:vAlign w:val="bottom"/>
          </w:tcPr>
          <w:p w:rsidR="00E72BC0" w:rsidRPr="00794D8F" w:rsidRDefault="00E72BC0" w:rsidP="00794D8F">
            <w:pPr>
              <w:pStyle w:val="Tabletext"/>
              <w:jc w:val="right"/>
              <w:rPr>
                <w:lang w:eastAsia="en-NZ"/>
              </w:rPr>
            </w:pPr>
            <w:r w:rsidRPr="00794D8F">
              <w:rPr>
                <w:lang w:eastAsia="en-NZ"/>
              </w:rPr>
              <w:t xml:space="preserve">8,706 </w:t>
            </w:r>
          </w:p>
        </w:tc>
        <w:tc>
          <w:tcPr>
            <w:tcW w:w="712" w:type="dxa"/>
            <w:tcBorders>
              <w:top w:val="nil"/>
              <w:left w:val="single" w:sz="4" w:space="0" w:color="7F7F7F"/>
              <w:bottom w:val="nil"/>
              <w:right w:val="single" w:sz="4" w:space="0" w:color="7F7F7F"/>
              <w:tl2br w:val="nil"/>
              <w:tr2bl w:val="nil"/>
            </w:tcBorders>
          </w:tcPr>
          <w:p w:rsidR="00E72BC0" w:rsidRDefault="00794D8F" w:rsidP="00794D8F">
            <w:pPr>
              <w:pStyle w:val="Tabletext"/>
              <w:jc w:val="right"/>
              <w:rPr>
                <w:lang w:eastAsia="en-NZ"/>
              </w:rPr>
            </w:pPr>
            <w:r>
              <w:rPr>
                <w:lang w:eastAsia="en-NZ"/>
              </w:rPr>
              <w:t>+2.8</w:t>
            </w:r>
          </w:p>
        </w:tc>
      </w:tr>
      <w:tr w:rsidR="00E72BC0" w:rsidTr="00E72BC0">
        <w:trPr>
          <w:trHeight w:val="57"/>
        </w:trPr>
        <w:tc>
          <w:tcPr>
            <w:tcW w:w="1843" w:type="dxa"/>
            <w:tcBorders>
              <w:top w:val="nil"/>
              <w:left w:val="single" w:sz="4" w:space="0" w:color="7F7F7F"/>
              <w:bottom w:val="single" w:sz="4" w:space="0" w:color="7F7F7F"/>
              <w:right w:val="single" w:sz="4" w:space="0" w:color="7F7F7F"/>
              <w:tl2br w:val="nil"/>
              <w:tr2bl w:val="nil"/>
            </w:tcBorders>
            <w:shd w:val="clear" w:color="auto" w:fill="C2D8EA"/>
          </w:tcPr>
          <w:p w:rsidR="00E72BC0" w:rsidRPr="006D132F" w:rsidRDefault="00E72BC0" w:rsidP="00901B41">
            <w:pPr>
              <w:pStyle w:val="Tabletext"/>
            </w:pPr>
            <w:r w:rsidRPr="006D132F">
              <w:t>Total</w:t>
            </w:r>
          </w:p>
        </w:tc>
        <w:tc>
          <w:tcPr>
            <w:tcW w:w="851" w:type="dxa"/>
            <w:tcBorders>
              <w:top w:val="nil"/>
              <w:left w:val="single" w:sz="4" w:space="0" w:color="7F7F7F"/>
              <w:bottom w:val="single" w:sz="4" w:space="0" w:color="7F7F7F"/>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373,091</w:t>
            </w:r>
          </w:p>
        </w:tc>
        <w:tc>
          <w:tcPr>
            <w:tcW w:w="888" w:type="dxa"/>
            <w:tcBorders>
              <w:top w:val="nil"/>
              <w:left w:val="single" w:sz="4" w:space="0" w:color="7F7F7F"/>
              <w:bottom w:val="single" w:sz="4" w:space="0" w:color="7F7F7F"/>
              <w:right w:val="single" w:sz="4" w:space="0" w:color="7F7F7F"/>
              <w:tl2br w:val="nil"/>
              <w:tr2bl w:val="nil"/>
            </w:tcBorders>
            <w:shd w:val="clear" w:color="auto" w:fill="C2D8EA"/>
          </w:tcPr>
          <w:p w:rsidR="00E72BC0" w:rsidRDefault="00E72BC0" w:rsidP="00ED5C86">
            <w:pPr>
              <w:pStyle w:val="Tabletext"/>
              <w:jc w:val="right"/>
              <w:rPr>
                <w:lang w:eastAsia="en-NZ"/>
              </w:rPr>
            </w:pPr>
            <w:r>
              <w:rPr>
                <w:lang w:eastAsia="en-NZ"/>
              </w:rPr>
              <w:t>369,565</w:t>
            </w:r>
          </w:p>
        </w:tc>
        <w:tc>
          <w:tcPr>
            <w:tcW w:w="671" w:type="dxa"/>
            <w:tcBorders>
              <w:top w:val="nil"/>
              <w:left w:val="single" w:sz="4" w:space="0" w:color="7F7F7F"/>
              <w:bottom w:val="single" w:sz="4" w:space="0" w:color="7F7F7F"/>
              <w:right w:val="single" w:sz="4" w:space="0" w:color="7F7F7F"/>
              <w:tl2br w:val="nil"/>
              <w:tr2bl w:val="nil"/>
            </w:tcBorders>
            <w:shd w:val="clear" w:color="auto" w:fill="C2D8EA"/>
          </w:tcPr>
          <w:p w:rsidR="00E72BC0" w:rsidRDefault="00E72BC0" w:rsidP="00422202">
            <w:pPr>
              <w:pStyle w:val="Tabletext"/>
              <w:jc w:val="right"/>
              <w:rPr>
                <w:lang w:eastAsia="en-NZ"/>
              </w:rPr>
            </w:pPr>
            <w:r>
              <w:rPr>
                <w:lang w:eastAsia="en-NZ"/>
              </w:rPr>
              <w:t>-0.9</w:t>
            </w:r>
          </w:p>
        </w:tc>
        <w:tc>
          <w:tcPr>
            <w:tcW w:w="751"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47,678 </w:t>
            </w:r>
          </w:p>
        </w:tc>
        <w:tc>
          <w:tcPr>
            <w:tcW w:w="712"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E72BC0" w:rsidRPr="00E72BC0" w:rsidRDefault="00E72BC0" w:rsidP="00E72BC0">
            <w:pPr>
              <w:pStyle w:val="Tabletext"/>
              <w:jc w:val="right"/>
              <w:rPr>
                <w:lang w:eastAsia="en-NZ"/>
              </w:rPr>
            </w:pPr>
            <w:r w:rsidRPr="00E72BC0">
              <w:rPr>
                <w:lang w:eastAsia="en-NZ"/>
              </w:rPr>
              <w:t xml:space="preserve">47,951 </w:t>
            </w:r>
          </w:p>
        </w:tc>
        <w:tc>
          <w:tcPr>
            <w:tcW w:w="663" w:type="dxa"/>
            <w:tcBorders>
              <w:top w:val="nil"/>
              <w:left w:val="single" w:sz="4" w:space="0" w:color="7F7F7F"/>
              <w:bottom w:val="single" w:sz="4" w:space="0" w:color="7F7F7F"/>
              <w:right w:val="single" w:sz="4" w:space="0" w:color="7F7F7F"/>
              <w:tl2br w:val="nil"/>
              <w:tr2bl w:val="nil"/>
            </w:tcBorders>
            <w:shd w:val="clear" w:color="auto" w:fill="C2D8EA"/>
          </w:tcPr>
          <w:p w:rsidR="00E72BC0" w:rsidRDefault="00E72BC0" w:rsidP="00E72BC0">
            <w:pPr>
              <w:pStyle w:val="Tabletext"/>
              <w:jc w:val="right"/>
              <w:rPr>
                <w:lang w:eastAsia="en-NZ"/>
              </w:rPr>
            </w:pPr>
            <w:r>
              <w:rPr>
                <w:lang w:eastAsia="en-NZ"/>
              </w:rPr>
              <w:t>+0.6</w:t>
            </w:r>
          </w:p>
        </w:tc>
        <w:tc>
          <w:tcPr>
            <w:tcW w:w="759"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420,769 </w:t>
            </w:r>
          </w:p>
        </w:tc>
        <w:tc>
          <w:tcPr>
            <w:tcW w:w="711"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E72BC0" w:rsidRPr="00794D8F" w:rsidRDefault="00E72BC0" w:rsidP="00794D8F">
            <w:pPr>
              <w:pStyle w:val="Tabletext"/>
              <w:jc w:val="right"/>
              <w:rPr>
                <w:lang w:eastAsia="en-NZ"/>
              </w:rPr>
            </w:pPr>
            <w:r w:rsidRPr="00794D8F">
              <w:rPr>
                <w:lang w:eastAsia="en-NZ"/>
              </w:rPr>
              <w:t xml:space="preserve">417,516 </w:t>
            </w:r>
          </w:p>
        </w:tc>
        <w:tc>
          <w:tcPr>
            <w:tcW w:w="712" w:type="dxa"/>
            <w:tcBorders>
              <w:top w:val="nil"/>
              <w:left w:val="single" w:sz="4" w:space="0" w:color="7F7F7F"/>
              <w:bottom w:val="single" w:sz="4" w:space="0" w:color="7F7F7F"/>
              <w:right w:val="single" w:sz="4" w:space="0" w:color="7F7F7F"/>
              <w:tl2br w:val="nil"/>
              <w:tr2bl w:val="nil"/>
            </w:tcBorders>
            <w:shd w:val="clear" w:color="auto" w:fill="C2D8EA"/>
          </w:tcPr>
          <w:p w:rsidR="00E72BC0" w:rsidRDefault="00E72BC0" w:rsidP="00794D8F">
            <w:pPr>
              <w:pStyle w:val="Tabletext"/>
              <w:jc w:val="right"/>
              <w:rPr>
                <w:lang w:eastAsia="en-NZ"/>
              </w:rPr>
            </w:pPr>
            <w:r>
              <w:rPr>
                <w:lang w:eastAsia="en-NZ"/>
              </w:rPr>
              <w:t>-</w:t>
            </w:r>
            <w:r w:rsidR="00794D8F">
              <w:rPr>
                <w:lang w:eastAsia="en-NZ"/>
              </w:rPr>
              <w:t>0.8</w:t>
            </w:r>
          </w:p>
        </w:tc>
      </w:tr>
    </w:tbl>
    <w:p w:rsidR="00DE3610" w:rsidRDefault="00DE3610" w:rsidP="00A07F6A">
      <w:pPr>
        <w:pStyle w:val="Note"/>
        <w:spacing w:before="40" w:after="0"/>
      </w:pPr>
      <w:r>
        <w:t xml:space="preserve">*This category includes </w:t>
      </w:r>
      <w:r w:rsidR="00502522">
        <w:t xml:space="preserve">bachelors with honours degrees </w:t>
      </w:r>
      <w:r w:rsidR="00640ECF">
        <w:t xml:space="preserve">and </w:t>
      </w:r>
      <w:r>
        <w:t>postgraduate certificates and diplomas.</w:t>
      </w:r>
    </w:p>
    <w:p w:rsidR="00D91C83" w:rsidRDefault="00D91C83" w:rsidP="00D91C83">
      <w:pPr>
        <w:pStyle w:val="Heading4"/>
        <w:spacing w:before="360"/>
      </w:pPr>
      <w:r>
        <w:lastRenderedPageBreak/>
        <w:t>Re</w:t>
      </w:r>
      <w:r w:rsidR="009B3AE4">
        <w:t>classification of qualifications by level</w:t>
      </w:r>
    </w:p>
    <w:p w:rsidR="009B3AE4" w:rsidRDefault="00D91C83" w:rsidP="000B67BF">
      <w:pPr>
        <w:spacing w:after="240"/>
        <w:jc w:val="both"/>
      </w:pPr>
      <w:r>
        <w:t>From 2012 to 2013, two shifts in enrolments between qualification levels occurred when</w:t>
      </w:r>
      <w:r w:rsidR="00297BEF">
        <w:t xml:space="preserve"> two engineering degrees were</w:t>
      </w:r>
      <w:r w:rsidR="009B3AE4">
        <w:t xml:space="preserve"> reclassified from </w:t>
      </w:r>
      <w:proofErr w:type="spellStart"/>
      <w:proofErr w:type="gramStart"/>
      <w:r w:rsidR="009B3AE4">
        <w:t>bachelors</w:t>
      </w:r>
      <w:proofErr w:type="spellEnd"/>
      <w:proofErr w:type="gramEnd"/>
      <w:r w:rsidR="009B3AE4">
        <w:t xml:space="preserve"> degrees</w:t>
      </w:r>
      <w:r w:rsidR="00297BEF">
        <w:t xml:space="preserve"> to bachelors with honours degree</w:t>
      </w:r>
      <w:r w:rsidR="009B3AE4">
        <w:t xml:space="preserve">s. </w:t>
      </w:r>
      <w:r w:rsidR="00767FF4">
        <w:t xml:space="preserve"> </w:t>
      </w:r>
      <w:r w:rsidR="005560B5">
        <w:t>Just over three quarters</w:t>
      </w:r>
      <w:r w:rsidR="009B3AE4">
        <w:t xml:space="preserve"> of the increase</w:t>
      </w:r>
      <w:r w:rsidR="00767FF4">
        <w:t>,</w:t>
      </w:r>
      <w:r w:rsidR="009B3AE4">
        <w:t xml:space="preserve"> </w:t>
      </w:r>
      <w:r w:rsidR="004E6283">
        <w:t>from 2012 to 2013</w:t>
      </w:r>
      <w:r w:rsidR="00767FF4">
        <w:t>,</w:t>
      </w:r>
      <w:r w:rsidR="004E6283">
        <w:t xml:space="preserve"> </w:t>
      </w:r>
      <w:r w:rsidR="009B3AE4">
        <w:t>in the number of students enrolled in bachelors with honours degrees was due to the shift in qualification level of these engineering degrees</w:t>
      </w:r>
      <w:r w:rsidR="00767FF4">
        <w:t xml:space="preserve"> (Table 4.2)</w:t>
      </w:r>
      <w:r w:rsidR="009B3AE4">
        <w:t xml:space="preserve">. </w:t>
      </w:r>
      <w:r w:rsidR="009F5A23">
        <w:t xml:space="preserve"> </w:t>
      </w:r>
      <w:r w:rsidR="009B3AE4">
        <w:t xml:space="preserve">Similarly, the decrease in the number of students enrolled in </w:t>
      </w:r>
      <w:proofErr w:type="spellStart"/>
      <w:r w:rsidR="009B3AE4">
        <w:t>bachelors</w:t>
      </w:r>
      <w:proofErr w:type="spellEnd"/>
      <w:r w:rsidR="009B3AE4">
        <w:t xml:space="preserve"> degrees</w:t>
      </w:r>
      <w:r w:rsidR="00767FF4">
        <w:t>,</w:t>
      </w:r>
      <w:r w:rsidR="009B3AE4">
        <w:t xml:space="preserve"> from 2012 to 2013</w:t>
      </w:r>
      <w:r w:rsidR="00767FF4">
        <w:t>,</w:t>
      </w:r>
      <w:r w:rsidR="009B3AE4">
        <w:t xml:space="preserve"> would have been</w:t>
      </w:r>
      <w:r w:rsidR="009F5A23">
        <w:t xml:space="preserve"> lower, at</w:t>
      </w:r>
      <w:r w:rsidR="000D4659">
        <w:t xml:space="preserve"> just under one</w:t>
      </w:r>
      <w:r w:rsidR="009B3AE4">
        <w:t xml:space="preserve"> percent</w:t>
      </w:r>
      <w:r w:rsidR="009F5A23">
        <w:t>,</w:t>
      </w:r>
      <w:r w:rsidR="009B3AE4">
        <w:t xml:space="preserve"> ha</w:t>
      </w:r>
      <w:r w:rsidR="00FC56CF">
        <w:t>d these shifts not taken place.</w:t>
      </w:r>
    </w:p>
    <w:p w:rsidR="00FC56CF" w:rsidRDefault="00FC56CF" w:rsidP="000B67BF">
      <w:pPr>
        <w:spacing w:after="240"/>
        <w:jc w:val="both"/>
      </w:pPr>
      <w:r>
        <w:t xml:space="preserve">From 2012 to 2013, there was also a shift in enrolments </w:t>
      </w:r>
      <w:r w:rsidR="009F5A23">
        <w:t>when</w:t>
      </w:r>
      <w:r>
        <w:t xml:space="preserve"> </w:t>
      </w:r>
      <w:r w:rsidR="005560B5">
        <w:t>a professional legal studies</w:t>
      </w:r>
      <w:r>
        <w:t xml:space="preserve"> </w:t>
      </w:r>
      <w:r w:rsidR="005560B5">
        <w:t>course</w:t>
      </w:r>
      <w:r>
        <w:t xml:space="preserve"> </w:t>
      </w:r>
      <w:r w:rsidR="009F5A23">
        <w:t>was</w:t>
      </w:r>
      <w:r>
        <w:t xml:space="preserve"> reclassified</w:t>
      </w:r>
      <w:r w:rsidR="00767FF4">
        <w:t xml:space="preserve"> from postgraduate certificates to graduate certificates</w:t>
      </w:r>
      <w:r>
        <w:t xml:space="preserve">. </w:t>
      </w:r>
      <w:r w:rsidR="004E6283">
        <w:t xml:space="preserve"> </w:t>
      </w:r>
      <w:r w:rsidR="005560B5">
        <w:t xml:space="preserve">Had the shift in qualification level of the professional legal studies course not taken place, then </w:t>
      </w:r>
      <w:r>
        <w:t>the number of students enrolled in postgraduate certificates</w:t>
      </w:r>
      <w:r w:rsidR="005560B5">
        <w:t xml:space="preserve"> would have increased,</w:t>
      </w:r>
      <w:r>
        <w:t xml:space="preserve"> </w:t>
      </w:r>
      <w:r w:rsidR="005560B5">
        <w:t xml:space="preserve">from 2012 to 2013, by </w:t>
      </w:r>
      <w:r w:rsidR="000D4659">
        <w:t>around one and a half</w:t>
      </w:r>
      <w:r w:rsidR="005560B5">
        <w:t xml:space="preserve"> percent </w:t>
      </w:r>
      <w:r w:rsidR="00767FF4">
        <w:t>(Table 4.2)</w:t>
      </w:r>
      <w:r>
        <w:t>. Similarly, the decrease</w:t>
      </w:r>
      <w:r w:rsidR="00767FF4">
        <w:t>, from 2012 to 2013,</w:t>
      </w:r>
      <w:r>
        <w:t xml:space="preserve"> in the number of students enrolled in graduate certificates</w:t>
      </w:r>
      <w:r w:rsidR="008135D5">
        <w:t xml:space="preserve"> and</w:t>
      </w:r>
      <w:r w:rsidR="00BE4628">
        <w:t xml:space="preserve"> </w:t>
      </w:r>
      <w:r>
        <w:t xml:space="preserve">diplomas would have been </w:t>
      </w:r>
      <w:r w:rsidR="009F5A23">
        <w:t xml:space="preserve">larger, at </w:t>
      </w:r>
      <w:r>
        <w:t xml:space="preserve">approximately </w:t>
      </w:r>
      <w:r w:rsidR="000D4659">
        <w:t>six</w:t>
      </w:r>
      <w:r>
        <w:t xml:space="preserve"> percent</w:t>
      </w:r>
      <w:r w:rsidR="009F5A23">
        <w:t>,</w:t>
      </w:r>
      <w:r>
        <w:t xml:space="preserve"> had this shift not t</w:t>
      </w:r>
      <w:r w:rsidR="004E6283">
        <w:t>aken place.</w:t>
      </w:r>
    </w:p>
    <w:p w:rsidR="003355E9" w:rsidRDefault="003355E9" w:rsidP="000B67BF">
      <w:pPr>
        <w:spacing w:after="240"/>
        <w:jc w:val="both"/>
      </w:pPr>
      <w:r>
        <w:t xml:space="preserve">Enrolments by domestic students in postgraduate diplomas decreased from 2012 to 2013 by 5.3 percent.  These enrolments also decreased from 2011 to 2012 </w:t>
      </w:r>
      <w:r w:rsidR="000D4659">
        <w:t xml:space="preserve">(down by 0.6 percent) and from </w:t>
      </w:r>
      <w:r>
        <w:t>2010 to 2011 (down by 5.8 percent).</w:t>
      </w:r>
    </w:p>
    <w:p w:rsidR="00D91C83" w:rsidRDefault="00174F22" w:rsidP="00174F22">
      <w:pPr>
        <w:pStyle w:val="Caption"/>
      </w:pPr>
      <w:proofErr w:type="gramStart"/>
      <w:r>
        <w:t xml:space="preserve">Table </w:t>
      </w:r>
      <w:r w:rsidR="005B67D2">
        <w:fldChar w:fldCharType="begin"/>
      </w:r>
      <w:r>
        <w:instrText xml:space="preserve"> STYLEREF 1 \s </w:instrText>
      </w:r>
      <w:r w:rsidR="005B67D2">
        <w:fldChar w:fldCharType="separate"/>
      </w:r>
      <w:r w:rsidR="00375A85">
        <w:rPr>
          <w:noProof/>
        </w:rPr>
        <w:t>4</w:t>
      </w:r>
      <w:r w:rsidR="005B67D2">
        <w:fldChar w:fldCharType="end"/>
      </w:r>
      <w:r>
        <w:t>.</w:t>
      </w:r>
      <w:proofErr w:type="gramEnd"/>
      <w:r w:rsidR="005B67D2">
        <w:fldChar w:fldCharType="begin"/>
      </w:r>
      <w:r>
        <w:instrText xml:space="preserve"> SEQ Table \* ARABIC \s 1 </w:instrText>
      </w:r>
      <w:r w:rsidR="005B67D2">
        <w:fldChar w:fldCharType="separate"/>
      </w:r>
      <w:r w:rsidR="00375A85">
        <w:rPr>
          <w:noProof/>
        </w:rPr>
        <w:t>2</w:t>
      </w:r>
      <w:r w:rsidR="005B67D2">
        <w:fldChar w:fldCharType="end"/>
      </w:r>
    </w:p>
    <w:p w:rsidR="00174F22" w:rsidRPr="00174F22" w:rsidRDefault="00174F22" w:rsidP="00174F22">
      <w:pPr>
        <w:pStyle w:val="Tablelabel"/>
      </w:pPr>
      <w:bookmarkStart w:id="34" w:name="_Toc384287874"/>
      <w:r>
        <w:t>Number of domestic students by detailed qualification level</w:t>
      </w:r>
      <w:bookmarkEnd w:id="34"/>
      <w:r w:rsidR="000B67BF">
        <w:rPr>
          <w:rStyle w:val="FootnoteReference"/>
        </w:rPr>
        <w:footnoteReference w:id="8"/>
      </w:r>
    </w:p>
    <w:tbl>
      <w:tblPr>
        <w:tblW w:w="0" w:type="auto"/>
        <w:tblInd w:w="57" w:type="dxa"/>
        <w:tblBorders>
          <w:top w:val="single" w:sz="4" w:space="0" w:color="7F7F7F"/>
          <w:left w:val="single" w:sz="4" w:space="0" w:color="7F7F7F"/>
          <w:bottom w:val="single" w:sz="4" w:space="0" w:color="7F7F7F"/>
          <w:right w:val="single" w:sz="4" w:space="0" w:color="7F7F7F"/>
          <w:insideV w:val="single" w:sz="4" w:space="0" w:color="7F7F7F"/>
        </w:tblBorders>
        <w:tblLayout w:type="fixed"/>
        <w:tblCellMar>
          <w:top w:w="57" w:type="dxa"/>
          <w:left w:w="57" w:type="dxa"/>
          <w:bottom w:w="57" w:type="dxa"/>
          <w:right w:w="57" w:type="dxa"/>
        </w:tblCellMar>
        <w:tblLook w:val="01E0"/>
      </w:tblPr>
      <w:tblGrid>
        <w:gridCol w:w="1843"/>
        <w:gridCol w:w="671"/>
        <w:gridCol w:w="672"/>
        <w:gridCol w:w="672"/>
        <w:gridCol w:w="672"/>
        <w:gridCol w:w="6"/>
        <w:gridCol w:w="666"/>
        <w:gridCol w:w="671"/>
        <w:gridCol w:w="648"/>
        <w:gridCol w:w="24"/>
        <w:gridCol w:w="672"/>
        <w:gridCol w:w="672"/>
        <w:gridCol w:w="672"/>
      </w:tblGrid>
      <w:tr w:rsidR="00174F22" w:rsidRPr="00857520" w:rsidTr="00495D1D">
        <w:trPr>
          <w:trHeight w:val="113"/>
        </w:trPr>
        <w:tc>
          <w:tcPr>
            <w:tcW w:w="1843" w:type="dxa"/>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174F22" w:rsidRDefault="00174F22" w:rsidP="00174F22">
            <w:pPr>
              <w:pStyle w:val="Tabletext"/>
              <w:jc w:val="center"/>
            </w:pPr>
          </w:p>
        </w:tc>
        <w:tc>
          <w:tcPr>
            <w:tcW w:w="2693" w:type="dxa"/>
            <w:gridSpan w:val="5"/>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174F22" w:rsidRPr="00857520" w:rsidRDefault="00174F22" w:rsidP="00174F22">
            <w:pPr>
              <w:pStyle w:val="Tableheading"/>
            </w:pPr>
            <w:r>
              <w:t>No. of domestic students</w:t>
            </w:r>
          </w:p>
        </w:tc>
        <w:tc>
          <w:tcPr>
            <w:tcW w:w="1985" w:type="dxa"/>
            <w:gridSpan w:val="3"/>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174F22" w:rsidRPr="00857520" w:rsidRDefault="00174F22" w:rsidP="00495D1D">
            <w:pPr>
              <w:pStyle w:val="Tableheading"/>
            </w:pPr>
            <w:r>
              <w:t>Change in no. of</w:t>
            </w:r>
            <w:r w:rsidRPr="00857520">
              <w:t xml:space="preserve"> </w:t>
            </w:r>
            <w:r>
              <w:t xml:space="preserve">students from </w:t>
            </w:r>
            <w:proofErr w:type="spellStart"/>
            <w:r w:rsidR="00495D1D">
              <w:t>p.y</w:t>
            </w:r>
            <w:proofErr w:type="spellEnd"/>
            <w:r w:rsidR="00495D1D">
              <w:t>.</w:t>
            </w:r>
          </w:p>
        </w:tc>
        <w:tc>
          <w:tcPr>
            <w:tcW w:w="2040" w:type="dxa"/>
            <w:gridSpan w:val="4"/>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174F22" w:rsidRPr="00857520" w:rsidRDefault="00174F22" w:rsidP="00495D1D">
            <w:pPr>
              <w:pStyle w:val="Tableheading"/>
            </w:pPr>
            <w:r>
              <w:t>% change in no. of student</w:t>
            </w:r>
            <w:r w:rsidRPr="00857520">
              <w:t>s</w:t>
            </w:r>
            <w:r>
              <w:t xml:space="preserve"> from </w:t>
            </w:r>
            <w:proofErr w:type="spellStart"/>
            <w:r w:rsidR="00495D1D">
              <w:t>p.y</w:t>
            </w:r>
            <w:proofErr w:type="spellEnd"/>
            <w:r w:rsidR="00495D1D">
              <w:t>.</w:t>
            </w:r>
          </w:p>
        </w:tc>
      </w:tr>
      <w:tr w:rsidR="00495D1D" w:rsidRPr="006D132F" w:rsidTr="00495D1D">
        <w:trPr>
          <w:trHeight w:val="251"/>
        </w:trPr>
        <w:tc>
          <w:tcPr>
            <w:tcW w:w="1843" w:type="dxa"/>
            <w:tcBorders>
              <w:top w:val="nil"/>
              <w:left w:val="single" w:sz="4" w:space="0" w:color="7F7F7F"/>
              <w:bottom w:val="nil"/>
              <w:right w:val="single" w:sz="4" w:space="0" w:color="7F7F7F"/>
              <w:tl2br w:val="nil"/>
              <w:tr2bl w:val="nil"/>
            </w:tcBorders>
          </w:tcPr>
          <w:p w:rsidR="00495D1D" w:rsidRPr="00ED5C86" w:rsidRDefault="00495D1D" w:rsidP="00174F22">
            <w:pPr>
              <w:pStyle w:val="Tabletext"/>
              <w:rPr>
                <w:rFonts w:ascii="Book Antiqua" w:hAnsi="Book Antiqua"/>
                <w:sz w:val="18"/>
                <w:szCs w:val="18"/>
              </w:rPr>
            </w:pPr>
          </w:p>
        </w:tc>
        <w:tc>
          <w:tcPr>
            <w:tcW w:w="671" w:type="dxa"/>
            <w:tcBorders>
              <w:top w:val="nil"/>
              <w:left w:val="single" w:sz="4" w:space="0" w:color="7F7F7F"/>
              <w:bottom w:val="nil"/>
              <w:right w:val="single" w:sz="4" w:space="0" w:color="7F7F7F"/>
              <w:tl2br w:val="nil"/>
              <w:tr2bl w:val="nil"/>
            </w:tcBorders>
          </w:tcPr>
          <w:p w:rsidR="00495D1D" w:rsidRPr="006D132F" w:rsidRDefault="00495D1D" w:rsidP="00174F22">
            <w:pPr>
              <w:pStyle w:val="Tableheading"/>
            </w:pPr>
            <w:r>
              <w:t>2010</w:t>
            </w:r>
          </w:p>
        </w:tc>
        <w:tc>
          <w:tcPr>
            <w:tcW w:w="672" w:type="dxa"/>
            <w:tcBorders>
              <w:top w:val="nil"/>
              <w:left w:val="single" w:sz="4" w:space="0" w:color="7F7F7F"/>
              <w:bottom w:val="nil"/>
              <w:right w:val="single" w:sz="4" w:space="0" w:color="7F7F7F"/>
              <w:tl2br w:val="nil"/>
              <w:tr2bl w:val="nil"/>
            </w:tcBorders>
          </w:tcPr>
          <w:p w:rsidR="00495D1D" w:rsidRPr="006D132F" w:rsidRDefault="00495D1D" w:rsidP="00495D1D">
            <w:pPr>
              <w:pStyle w:val="Tableheading"/>
            </w:pPr>
            <w:r>
              <w:t>2011</w:t>
            </w:r>
          </w:p>
        </w:tc>
        <w:tc>
          <w:tcPr>
            <w:tcW w:w="672" w:type="dxa"/>
            <w:tcBorders>
              <w:top w:val="nil"/>
              <w:left w:val="single" w:sz="4" w:space="0" w:color="7F7F7F"/>
              <w:bottom w:val="nil"/>
              <w:right w:val="single" w:sz="4" w:space="0" w:color="7F7F7F"/>
              <w:tl2br w:val="nil"/>
              <w:tr2bl w:val="nil"/>
            </w:tcBorders>
          </w:tcPr>
          <w:p w:rsidR="00495D1D" w:rsidRPr="006D132F" w:rsidRDefault="00495D1D" w:rsidP="00174F22">
            <w:pPr>
              <w:pStyle w:val="Tableheading"/>
            </w:pPr>
            <w:r>
              <w:t>2012</w:t>
            </w:r>
          </w:p>
        </w:tc>
        <w:tc>
          <w:tcPr>
            <w:tcW w:w="672" w:type="dxa"/>
            <w:tcBorders>
              <w:top w:val="nil"/>
              <w:left w:val="single" w:sz="4" w:space="0" w:color="7F7F7F"/>
              <w:bottom w:val="nil"/>
              <w:right w:val="single" w:sz="4" w:space="0" w:color="7F7F7F"/>
              <w:tl2br w:val="nil"/>
              <w:tr2bl w:val="nil"/>
            </w:tcBorders>
          </w:tcPr>
          <w:p w:rsidR="00495D1D" w:rsidRPr="006D132F" w:rsidRDefault="00495D1D" w:rsidP="00174F22">
            <w:pPr>
              <w:pStyle w:val="Tableheading"/>
            </w:pPr>
            <w:r>
              <w:t>2013</w:t>
            </w:r>
          </w:p>
        </w:tc>
        <w:tc>
          <w:tcPr>
            <w:tcW w:w="672" w:type="dxa"/>
            <w:gridSpan w:val="2"/>
            <w:tcBorders>
              <w:top w:val="nil"/>
              <w:left w:val="single" w:sz="4" w:space="0" w:color="7F7F7F"/>
              <w:bottom w:val="nil"/>
              <w:right w:val="single" w:sz="4" w:space="0" w:color="7F7F7F"/>
              <w:tl2br w:val="nil"/>
              <w:tr2bl w:val="nil"/>
            </w:tcBorders>
          </w:tcPr>
          <w:p w:rsidR="00495D1D" w:rsidRPr="006D132F" w:rsidRDefault="00495D1D" w:rsidP="00174F22">
            <w:pPr>
              <w:pStyle w:val="Tableheading"/>
            </w:pPr>
            <w:r>
              <w:t>2011</w:t>
            </w:r>
          </w:p>
        </w:tc>
        <w:tc>
          <w:tcPr>
            <w:tcW w:w="671" w:type="dxa"/>
            <w:tcBorders>
              <w:top w:val="nil"/>
              <w:left w:val="single" w:sz="4" w:space="0" w:color="7F7F7F"/>
              <w:bottom w:val="nil"/>
              <w:right w:val="single" w:sz="4" w:space="0" w:color="7F7F7F"/>
              <w:tl2br w:val="nil"/>
              <w:tr2bl w:val="nil"/>
            </w:tcBorders>
          </w:tcPr>
          <w:p w:rsidR="00495D1D" w:rsidRPr="006D132F" w:rsidRDefault="00495D1D" w:rsidP="00174F22">
            <w:pPr>
              <w:pStyle w:val="Tableheading"/>
            </w:pPr>
            <w:r>
              <w:t>2012</w:t>
            </w:r>
          </w:p>
        </w:tc>
        <w:tc>
          <w:tcPr>
            <w:tcW w:w="672" w:type="dxa"/>
            <w:gridSpan w:val="2"/>
            <w:tcBorders>
              <w:top w:val="nil"/>
              <w:left w:val="single" w:sz="4" w:space="0" w:color="7F7F7F"/>
              <w:bottom w:val="nil"/>
              <w:right w:val="single" w:sz="4" w:space="0" w:color="7F7F7F"/>
              <w:tl2br w:val="nil"/>
              <w:tr2bl w:val="nil"/>
            </w:tcBorders>
          </w:tcPr>
          <w:p w:rsidR="00495D1D" w:rsidRPr="006D132F" w:rsidRDefault="00495D1D" w:rsidP="00174F22">
            <w:pPr>
              <w:pStyle w:val="Tableheading"/>
            </w:pPr>
            <w:r>
              <w:t>2013</w:t>
            </w:r>
          </w:p>
        </w:tc>
        <w:tc>
          <w:tcPr>
            <w:tcW w:w="672" w:type="dxa"/>
            <w:tcBorders>
              <w:top w:val="nil"/>
              <w:left w:val="single" w:sz="4" w:space="0" w:color="7F7F7F"/>
              <w:bottom w:val="nil"/>
              <w:right w:val="single" w:sz="4" w:space="0" w:color="7F7F7F"/>
              <w:tl2br w:val="nil"/>
              <w:tr2bl w:val="nil"/>
            </w:tcBorders>
          </w:tcPr>
          <w:p w:rsidR="00495D1D" w:rsidRPr="006D132F" w:rsidRDefault="00495D1D" w:rsidP="00174F22">
            <w:pPr>
              <w:pStyle w:val="Tableheading"/>
            </w:pPr>
            <w:r>
              <w:t>2011</w:t>
            </w:r>
          </w:p>
        </w:tc>
        <w:tc>
          <w:tcPr>
            <w:tcW w:w="672" w:type="dxa"/>
            <w:tcBorders>
              <w:top w:val="nil"/>
              <w:left w:val="single" w:sz="4" w:space="0" w:color="7F7F7F"/>
              <w:bottom w:val="nil"/>
              <w:right w:val="single" w:sz="4" w:space="0" w:color="7F7F7F"/>
              <w:tl2br w:val="nil"/>
              <w:tr2bl w:val="nil"/>
            </w:tcBorders>
          </w:tcPr>
          <w:p w:rsidR="00495D1D" w:rsidRPr="006D132F" w:rsidRDefault="00495D1D" w:rsidP="00174F22">
            <w:pPr>
              <w:pStyle w:val="Tableheading"/>
            </w:pPr>
            <w:r>
              <w:t>2012</w:t>
            </w:r>
          </w:p>
        </w:tc>
        <w:tc>
          <w:tcPr>
            <w:tcW w:w="672" w:type="dxa"/>
            <w:tcBorders>
              <w:top w:val="nil"/>
              <w:left w:val="single" w:sz="4" w:space="0" w:color="7F7F7F"/>
              <w:bottom w:val="nil"/>
              <w:right w:val="single" w:sz="4" w:space="0" w:color="7F7F7F"/>
              <w:tl2br w:val="nil"/>
              <w:tr2bl w:val="nil"/>
            </w:tcBorders>
          </w:tcPr>
          <w:p w:rsidR="00495D1D" w:rsidRPr="006D132F" w:rsidRDefault="00495D1D" w:rsidP="00174F22">
            <w:pPr>
              <w:pStyle w:val="Tableheading"/>
            </w:pPr>
            <w:r>
              <w:t>2013</w:t>
            </w:r>
          </w:p>
        </w:tc>
      </w:tr>
      <w:tr w:rsidR="00495D1D" w:rsidTr="00495D1D">
        <w:trPr>
          <w:trHeight w:val="57"/>
        </w:trPr>
        <w:tc>
          <w:tcPr>
            <w:tcW w:w="1843" w:type="dxa"/>
            <w:tcBorders>
              <w:top w:val="nil"/>
              <w:left w:val="single" w:sz="4" w:space="0" w:color="7F7F7F"/>
              <w:bottom w:val="nil"/>
              <w:right w:val="single" w:sz="4" w:space="0" w:color="7F7F7F"/>
              <w:tl2br w:val="nil"/>
              <w:tr2bl w:val="nil"/>
            </w:tcBorders>
            <w:shd w:val="clear" w:color="auto" w:fill="C2D8EA"/>
          </w:tcPr>
          <w:p w:rsidR="00495D1D" w:rsidRPr="006D132F" w:rsidRDefault="00495D1D" w:rsidP="00174F22">
            <w:pPr>
              <w:pStyle w:val="Tabletext"/>
            </w:pPr>
            <w:proofErr w:type="spellStart"/>
            <w:r w:rsidRPr="006D132F">
              <w:t>Bachelors</w:t>
            </w:r>
            <w:proofErr w:type="spellEnd"/>
            <w:r w:rsidRPr="006D132F">
              <w:t xml:space="preserve"> degrees</w:t>
            </w:r>
          </w:p>
        </w:tc>
        <w:tc>
          <w:tcPr>
            <w:tcW w:w="671"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124</w:t>
            </w:r>
            <w:r>
              <w:rPr>
                <w:rFonts w:ascii="Arial" w:hAnsi="Arial" w:cs="Arial"/>
                <w:color w:val="000000"/>
                <w:sz w:val="14"/>
                <w:szCs w:val="14"/>
              </w:rPr>
              <w:t>,</w:t>
            </w:r>
            <w:r w:rsidRPr="00495D1D">
              <w:rPr>
                <w:rFonts w:ascii="Arial" w:hAnsi="Arial" w:cs="Arial"/>
                <w:color w:val="000000"/>
                <w:sz w:val="14"/>
                <w:szCs w:val="14"/>
              </w:rPr>
              <w:t>461</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rsidP="00495D1D">
            <w:pPr>
              <w:jc w:val="right"/>
              <w:rPr>
                <w:rFonts w:ascii="Arial" w:hAnsi="Arial" w:cs="Arial"/>
                <w:color w:val="000000"/>
                <w:sz w:val="14"/>
                <w:szCs w:val="14"/>
              </w:rPr>
            </w:pPr>
            <w:r w:rsidRPr="00495D1D">
              <w:rPr>
                <w:rFonts w:ascii="Arial" w:hAnsi="Arial" w:cs="Arial"/>
                <w:color w:val="000000"/>
                <w:sz w:val="14"/>
                <w:szCs w:val="14"/>
              </w:rPr>
              <w:t>125</w:t>
            </w:r>
            <w:r>
              <w:rPr>
                <w:rFonts w:ascii="Arial" w:hAnsi="Arial" w:cs="Arial"/>
                <w:color w:val="000000"/>
                <w:sz w:val="14"/>
                <w:szCs w:val="14"/>
              </w:rPr>
              <w:t>,</w:t>
            </w:r>
            <w:r w:rsidRPr="00495D1D">
              <w:rPr>
                <w:rFonts w:ascii="Arial" w:hAnsi="Arial" w:cs="Arial"/>
                <w:color w:val="000000"/>
                <w:sz w:val="14"/>
                <w:szCs w:val="14"/>
              </w:rPr>
              <w:t>337</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127</w:t>
            </w:r>
            <w:r>
              <w:rPr>
                <w:rFonts w:ascii="Arial" w:hAnsi="Arial" w:cs="Arial"/>
                <w:color w:val="000000"/>
                <w:sz w:val="14"/>
                <w:szCs w:val="14"/>
              </w:rPr>
              <w:t>,</w:t>
            </w:r>
            <w:r w:rsidRPr="00495D1D">
              <w:rPr>
                <w:rFonts w:ascii="Arial" w:hAnsi="Arial" w:cs="Arial"/>
                <w:color w:val="000000"/>
                <w:sz w:val="14"/>
                <w:szCs w:val="14"/>
              </w:rPr>
              <w:t>335</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125</w:t>
            </w:r>
            <w:r>
              <w:rPr>
                <w:rFonts w:ascii="Arial" w:hAnsi="Arial" w:cs="Arial"/>
                <w:color w:val="000000"/>
                <w:sz w:val="14"/>
                <w:szCs w:val="14"/>
              </w:rPr>
              <w:t>,</w:t>
            </w:r>
            <w:r w:rsidRPr="00495D1D">
              <w:rPr>
                <w:rFonts w:ascii="Arial" w:hAnsi="Arial" w:cs="Arial"/>
                <w:color w:val="000000"/>
                <w:sz w:val="14"/>
                <w:szCs w:val="14"/>
              </w:rPr>
              <w:t>471</w:t>
            </w:r>
          </w:p>
        </w:tc>
        <w:tc>
          <w:tcPr>
            <w:tcW w:w="672" w:type="dxa"/>
            <w:gridSpan w:val="2"/>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CD5540">
            <w:pPr>
              <w:jc w:val="right"/>
              <w:rPr>
                <w:rFonts w:ascii="Arial" w:hAnsi="Arial" w:cs="Arial"/>
                <w:color w:val="000000"/>
                <w:sz w:val="14"/>
                <w:szCs w:val="14"/>
              </w:rPr>
            </w:pPr>
            <w:r>
              <w:rPr>
                <w:rFonts w:ascii="Arial" w:hAnsi="Arial" w:cs="Arial"/>
                <w:color w:val="000000"/>
                <w:sz w:val="14"/>
                <w:szCs w:val="14"/>
              </w:rPr>
              <w:t>+</w:t>
            </w:r>
            <w:r w:rsidR="00495D1D" w:rsidRPr="00495D1D">
              <w:rPr>
                <w:rFonts w:ascii="Arial" w:hAnsi="Arial" w:cs="Arial"/>
                <w:color w:val="000000"/>
                <w:sz w:val="14"/>
                <w:szCs w:val="14"/>
              </w:rPr>
              <w:t>876</w:t>
            </w:r>
          </w:p>
        </w:tc>
        <w:tc>
          <w:tcPr>
            <w:tcW w:w="671"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CD5540">
            <w:pPr>
              <w:jc w:val="right"/>
              <w:rPr>
                <w:rFonts w:ascii="Arial" w:hAnsi="Arial" w:cs="Arial"/>
                <w:color w:val="000000"/>
                <w:sz w:val="14"/>
                <w:szCs w:val="14"/>
              </w:rPr>
            </w:pPr>
            <w:r>
              <w:rPr>
                <w:rFonts w:ascii="Arial" w:hAnsi="Arial" w:cs="Arial"/>
                <w:color w:val="000000"/>
                <w:sz w:val="14"/>
                <w:szCs w:val="14"/>
              </w:rPr>
              <w:t>+</w:t>
            </w:r>
            <w:r w:rsidR="00495D1D" w:rsidRPr="00495D1D">
              <w:rPr>
                <w:rFonts w:ascii="Arial" w:hAnsi="Arial" w:cs="Arial"/>
                <w:color w:val="000000"/>
                <w:sz w:val="14"/>
                <w:szCs w:val="14"/>
              </w:rPr>
              <w:t>1</w:t>
            </w:r>
            <w:r w:rsidR="00495D1D">
              <w:rPr>
                <w:rFonts w:ascii="Arial" w:hAnsi="Arial" w:cs="Arial"/>
                <w:color w:val="000000"/>
                <w:sz w:val="14"/>
                <w:szCs w:val="14"/>
              </w:rPr>
              <w:t>,</w:t>
            </w:r>
            <w:r w:rsidR="00495D1D" w:rsidRPr="00495D1D">
              <w:rPr>
                <w:rFonts w:ascii="Arial" w:hAnsi="Arial" w:cs="Arial"/>
                <w:color w:val="000000"/>
                <w:sz w:val="14"/>
                <w:szCs w:val="14"/>
              </w:rPr>
              <w:t>998</w:t>
            </w:r>
          </w:p>
        </w:tc>
        <w:tc>
          <w:tcPr>
            <w:tcW w:w="672" w:type="dxa"/>
            <w:gridSpan w:val="2"/>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w:t>
            </w:r>
            <w:r>
              <w:rPr>
                <w:rFonts w:ascii="Arial" w:hAnsi="Arial" w:cs="Arial"/>
                <w:color w:val="000000"/>
                <w:sz w:val="14"/>
                <w:szCs w:val="14"/>
              </w:rPr>
              <w:t>,</w:t>
            </w:r>
            <w:r w:rsidRPr="00495D1D">
              <w:rPr>
                <w:rFonts w:ascii="Arial" w:hAnsi="Arial" w:cs="Arial"/>
                <w:color w:val="000000"/>
                <w:sz w:val="14"/>
                <w:szCs w:val="14"/>
              </w:rPr>
              <w:t>864</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CD5540">
            <w:pPr>
              <w:jc w:val="right"/>
              <w:rPr>
                <w:rFonts w:ascii="Arial" w:hAnsi="Arial" w:cs="Arial"/>
                <w:color w:val="000000"/>
                <w:sz w:val="14"/>
                <w:szCs w:val="14"/>
              </w:rPr>
            </w:pPr>
            <w:r>
              <w:rPr>
                <w:rFonts w:ascii="Arial" w:hAnsi="Arial" w:cs="Arial"/>
                <w:color w:val="000000"/>
                <w:sz w:val="14"/>
                <w:szCs w:val="14"/>
              </w:rPr>
              <w:t>+</w:t>
            </w:r>
            <w:r w:rsidR="00495D1D" w:rsidRPr="00495D1D">
              <w:rPr>
                <w:rFonts w:ascii="Arial" w:hAnsi="Arial" w:cs="Arial"/>
                <w:color w:val="000000"/>
                <w:sz w:val="14"/>
                <w:szCs w:val="14"/>
              </w:rPr>
              <w:t>0.7%</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CD5540">
            <w:pPr>
              <w:jc w:val="right"/>
              <w:rPr>
                <w:rFonts w:ascii="Arial" w:hAnsi="Arial" w:cs="Arial"/>
                <w:color w:val="000000"/>
                <w:sz w:val="14"/>
                <w:szCs w:val="14"/>
              </w:rPr>
            </w:pPr>
            <w:r>
              <w:rPr>
                <w:rFonts w:ascii="Arial" w:hAnsi="Arial" w:cs="Arial"/>
                <w:color w:val="000000"/>
                <w:sz w:val="14"/>
                <w:szCs w:val="14"/>
              </w:rPr>
              <w:t>+</w:t>
            </w:r>
            <w:r w:rsidR="00495D1D" w:rsidRPr="00495D1D">
              <w:rPr>
                <w:rFonts w:ascii="Arial" w:hAnsi="Arial" w:cs="Arial"/>
                <w:color w:val="000000"/>
                <w:sz w:val="14"/>
                <w:szCs w:val="14"/>
              </w:rPr>
              <w:t>1.6%</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-1.5%</w:t>
            </w:r>
          </w:p>
        </w:tc>
      </w:tr>
      <w:tr w:rsidR="00495D1D" w:rsidTr="00495D1D">
        <w:trPr>
          <w:trHeight w:val="57"/>
        </w:trPr>
        <w:tc>
          <w:tcPr>
            <w:tcW w:w="1843" w:type="dxa"/>
            <w:tcBorders>
              <w:top w:val="nil"/>
              <w:left w:val="single" w:sz="4" w:space="0" w:color="7F7F7F"/>
              <w:bottom w:val="nil"/>
              <w:right w:val="single" w:sz="4" w:space="0" w:color="7F7F7F"/>
              <w:tl2br w:val="nil"/>
              <w:tr2bl w:val="nil"/>
            </w:tcBorders>
          </w:tcPr>
          <w:p w:rsidR="00495D1D" w:rsidRPr="006D132F" w:rsidRDefault="00495D1D" w:rsidP="00174F22">
            <w:pPr>
              <w:pStyle w:val="Tabletext"/>
            </w:pPr>
            <w:r w:rsidRPr="006D132F">
              <w:t xml:space="preserve">Graduate </w:t>
            </w:r>
            <w:proofErr w:type="spellStart"/>
            <w:r w:rsidRPr="006D132F">
              <w:t>certs</w:t>
            </w:r>
            <w:proofErr w:type="spellEnd"/>
            <w:r w:rsidRPr="006D132F">
              <w:t>/dips</w:t>
            </w:r>
          </w:p>
        </w:tc>
        <w:tc>
          <w:tcPr>
            <w:tcW w:w="671"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13</w:t>
            </w:r>
            <w:r>
              <w:rPr>
                <w:rFonts w:ascii="Arial" w:hAnsi="Arial" w:cs="Arial"/>
                <w:color w:val="000000"/>
                <w:sz w:val="14"/>
                <w:szCs w:val="14"/>
              </w:rPr>
              <w:t>,</w:t>
            </w:r>
            <w:r w:rsidRPr="00495D1D">
              <w:rPr>
                <w:rFonts w:ascii="Arial" w:hAnsi="Arial" w:cs="Arial"/>
                <w:color w:val="000000"/>
                <w:sz w:val="14"/>
                <w:szCs w:val="14"/>
              </w:rPr>
              <w:t>140</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rsidP="00495D1D">
            <w:pPr>
              <w:jc w:val="right"/>
              <w:rPr>
                <w:rFonts w:ascii="Arial" w:hAnsi="Arial" w:cs="Arial"/>
                <w:color w:val="000000"/>
                <w:sz w:val="14"/>
                <w:szCs w:val="14"/>
              </w:rPr>
            </w:pPr>
            <w:r w:rsidRPr="00495D1D">
              <w:rPr>
                <w:rFonts w:ascii="Arial" w:hAnsi="Arial" w:cs="Arial"/>
                <w:color w:val="000000"/>
                <w:sz w:val="14"/>
                <w:szCs w:val="14"/>
              </w:rPr>
              <w:t>11</w:t>
            </w:r>
            <w:r>
              <w:rPr>
                <w:rFonts w:ascii="Arial" w:hAnsi="Arial" w:cs="Arial"/>
                <w:color w:val="000000"/>
                <w:sz w:val="14"/>
                <w:szCs w:val="14"/>
              </w:rPr>
              <w:t>,</w:t>
            </w:r>
            <w:r w:rsidRPr="00495D1D">
              <w:rPr>
                <w:rFonts w:ascii="Arial" w:hAnsi="Arial" w:cs="Arial"/>
                <w:color w:val="000000"/>
                <w:sz w:val="14"/>
                <w:szCs w:val="14"/>
              </w:rPr>
              <w:t>943</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11</w:t>
            </w:r>
            <w:r>
              <w:rPr>
                <w:rFonts w:ascii="Arial" w:hAnsi="Arial" w:cs="Arial"/>
                <w:color w:val="000000"/>
                <w:sz w:val="14"/>
                <w:szCs w:val="14"/>
              </w:rPr>
              <w:t>,</w:t>
            </w:r>
            <w:r w:rsidRPr="00495D1D">
              <w:rPr>
                <w:rFonts w:ascii="Arial" w:hAnsi="Arial" w:cs="Arial"/>
                <w:color w:val="000000"/>
                <w:sz w:val="14"/>
                <w:szCs w:val="14"/>
              </w:rPr>
              <w:t>429</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11</w:t>
            </w:r>
            <w:r>
              <w:rPr>
                <w:rFonts w:ascii="Arial" w:hAnsi="Arial" w:cs="Arial"/>
                <w:color w:val="000000"/>
                <w:sz w:val="14"/>
                <w:szCs w:val="14"/>
              </w:rPr>
              <w:t>,</w:t>
            </w:r>
            <w:r w:rsidRPr="00495D1D">
              <w:rPr>
                <w:rFonts w:ascii="Arial" w:hAnsi="Arial" w:cs="Arial"/>
                <w:color w:val="000000"/>
                <w:sz w:val="14"/>
                <w:szCs w:val="14"/>
              </w:rPr>
              <w:t>147</w:t>
            </w:r>
          </w:p>
        </w:tc>
        <w:tc>
          <w:tcPr>
            <w:tcW w:w="672" w:type="dxa"/>
            <w:gridSpan w:val="2"/>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w:t>
            </w:r>
            <w:r>
              <w:rPr>
                <w:rFonts w:ascii="Arial" w:hAnsi="Arial" w:cs="Arial"/>
                <w:color w:val="000000"/>
                <w:sz w:val="14"/>
                <w:szCs w:val="14"/>
              </w:rPr>
              <w:t>,</w:t>
            </w:r>
            <w:r w:rsidRPr="00495D1D">
              <w:rPr>
                <w:rFonts w:ascii="Arial" w:hAnsi="Arial" w:cs="Arial"/>
                <w:color w:val="000000"/>
                <w:sz w:val="14"/>
                <w:szCs w:val="14"/>
              </w:rPr>
              <w:t>197</w:t>
            </w:r>
          </w:p>
        </w:tc>
        <w:tc>
          <w:tcPr>
            <w:tcW w:w="671"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-514</w:t>
            </w:r>
          </w:p>
        </w:tc>
        <w:tc>
          <w:tcPr>
            <w:tcW w:w="672" w:type="dxa"/>
            <w:gridSpan w:val="2"/>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-282</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-9.1%</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-4.3%</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-2.5%</w:t>
            </w:r>
          </w:p>
        </w:tc>
      </w:tr>
      <w:tr w:rsidR="00495D1D" w:rsidTr="00495D1D">
        <w:trPr>
          <w:trHeight w:val="57"/>
        </w:trPr>
        <w:tc>
          <w:tcPr>
            <w:tcW w:w="1843" w:type="dxa"/>
            <w:tcBorders>
              <w:top w:val="nil"/>
              <w:left w:val="single" w:sz="4" w:space="0" w:color="7F7F7F"/>
              <w:bottom w:val="nil"/>
              <w:right w:val="single" w:sz="4" w:space="0" w:color="7F7F7F"/>
              <w:tl2br w:val="nil"/>
              <w:tr2bl w:val="nil"/>
            </w:tcBorders>
            <w:shd w:val="clear" w:color="auto" w:fill="C2D8EA"/>
          </w:tcPr>
          <w:p w:rsidR="00495D1D" w:rsidRPr="006D132F" w:rsidRDefault="00495D1D" w:rsidP="00174F22">
            <w:pPr>
              <w:pStyle w:val="Tabletext"/>
            </w:pPr>
            <w:r>
              <w:t>Bachelors with honours</w:t>
            </w:r>
          </w:p>
        </w:tc>
        <w:tc>
          <w:tcPr>
            <w:tcW w:w="671"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10</w:t>
            </w:r>
            <w:r>
              <w:rPr>
                <w:rFonts w:ascii="Arial" w:hAnsi="Arial" w:cs="Arial"/>
                <w:color w:val="000000"/>
                <w:sz w:val="14"/>
                <w:szCs w:val="14"/>
              </w:rPr>
              <w:t>,</w:t>
            </w:r>
            <w:r w:rsidRPr="00495D1D">
              <w:rPr>
                <w:rFonts w:ascii="Arial" w:hAnsi="Arial" w:cs="Arial"/>
                <w:color w:val="000000"/>
                <w:sz w:val="14"/>
                <w:szCs w:val="14"/>
              </w:rPr>
              <w:t>931</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rsidP="00495D1D">
            <w:pPr>
              <w:jc w:val="right"/>
              <w:rPr>
                <w:rFonts w:ascii="Arial" w:hAnsi="Arial" w:cs="Arial"/>
                <w:color w:val="000000"/>
                <w:sz w:val="14"/>
                <w:szCs w:val="14"/>
              </w:rPr>
            </w:pPr>
            <w:r w:rsidRPr="00495D1D">
              <w:rPr>
                <w:rFonts w:ascii="Arial" w:hAnsi="Arial" w:cs="Arial"/>
                <w:color w:val="000000"/>
                <w:sz w:val="14"/>
                <w:szCs w:val="14"/>
              </w:rPr>
              <w:t>10</w:t>
            </w:r>
            <w:r>
              <w:rPr>
                <w:rFonts w:ascii="Arial" w:hAnsi="Arial" w:cs="Arial"/>
                <w:color w:val="000000"/>
                <w:sz w:val="14"/>
                <w:szCs w:val="14"/>
              </w:rPr>
              <w:t>,</w:t>
            </w:r>
            <w:r w:rsidRPr="00495D1D">
              <w:rPr>
                <w:rFonts w:ascii="Arial" w:hAnsi="Arial" w:cs="Arial"/>
                <w:color w:val="000000"/>
                <w:sz w:val="14"/>
                <w:szCs w:val="14"/>
              </w:rPr>
              <w:t>668</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10</w:t>
            </w:r>
            <w:r>
              <w:rPr>
                <w:rFonts w:ascii="Arial" w:hAnsi="Arial" w:cs="Arial"/>
                <w:color w:val="000000"/>
                <w:sz w:val="14"/>
                <w:szCs w:val="14"/>
              </w:rPr>
              <w:t>,</w:t>
            </w:r>
            <w:r w:rsidRPr="00495D1D">
              <w:rPr>
                <w:rFonts w:ascii="Arial" w:hAnsi="Arial" w:cs="Arial"/>
                <w:color w:val="000000"/>
                <w:sz w:val="14"/>
                <w:szCs w:val="14"/>
              </w:rPr>
              <w:t>393</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11</w:t>
            </w:r>
            <w:r>
              <w:rPr>
                <w:rFonts w:ascii="Arial" w:hAnsi="Arial" w:cs="Arial"/>
                <w:color w:val="000000"/>
                <w:sz w:val="14"/>
                <w:szCs w:val="14"/>
              </w:rPr>
              <w:t>,</w:t>
            </w:r>
            <w:r w:rsidRPr="00495D1D">
              <w:rPr>
                <w:rFonts w:ascii="Arial" w:hAnsi="Arial" w:cs="Arial"/>
                <w:color w:val="000000"/>
                <w:sz w:val="14"/>
                <w:szCs w:val="14"/>
              </w:rPr>
              <w:t>241</w:t>
            </w:r>
          </w:p>
        </w:tc>
        <w:tc>
          <w:tcPr>
            <w:tcW w:w="672" w:type="dxa"/>
            <w:gridSpan w:val="2"/>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-263</w:t>
            </w:r>
          </w:p>
        </w:tc>
        <w:tc>
          <w:tcPr>
            <w:tcW w:w="671"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-275</w:t>
            </w:r>
          </w:p>
        </w:tc>
        <w:tc>
          <w:tcPr>
            <w:tcW w:w="672" w:type="dxa"/>
            <w:gridSpan w:val="2"/>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CD5540">
            <w:pPr>
              <w:jc w:val="right"/>
              <w:rPr>
                <w:rFonts w:ascii="Arial" w:hAnsi="Arial" w:cs="Arial"/>
                <w:color w:val="000000"/>
                <w:sz w:val="14"/>
                <w:szCs w:val="14"/>
              </w:rPr>
            </w:pPr>
            <w:r>
              <w:rPr>
                <w:rFonts w:ascii="Arial" w:hAnsi="Arial" w:cs="Arial"/>
                <w:color w:val="000000"/>
                <w:sz w:val="14"/>
                <w:szCs w:val="14"/>
              </w:rPr>
              <w:t>+</w:t>
            </w:r>
            <w:r w:rsidR="00495D1D" w:rsidRPr="00495D1D">
              <w:rPr>
                <w:rFonts w:ascii="Arial" w:hAnsi="Arial" w:cs="Arial"/>
                <w:color w:val="000000"/>
                <w:sz w:val="14"/>
                <w:szCs w:val="14"/>
              </w:rPr>
              <w:t>848</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-2.4%</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-2.6%</w:t>
            </w:r>
          </w:p>
        </w:tc>
        <w:tc>
          <w:tcPr>
            <w:tcW w:w="672" w:type="dxa"/>
            <w:tcBorders>
              <w:top w:val="nil"/>
              <w:left w:val="single" w:sz="4" w:space="0" w:color="7F7F7F"/>
              <w:bottom w:val="nil"/>
              <w:right w:val="single" w:sz="4" w:space="0" w:color="7F7F7F"/>
              <w:tl2br w:val="nil"/>
              <w:tr2bl w:val="nil"/>
            </w:tcBorders>
            <w:shd w:val="clear" w:color="auto" w:fill="C2D8EA"/>
            <w:vAlign w:val="bottom"/>
          </w:tcPr>
          <w:p w:rsidR="00495D1D" w:rsidRPr="00495D1D" w:rsidRDefault="00CD5540">
            <w:pPr>
              <w:jc w:val="right"/>
              <w:rPr>
                <w:rFonts w:ascii="Arial" w:hAnsi="Arial" w:cs="Arial"/>
                <w:color w:val="000000"/>
                <w:sz w:val="14"/>
                <w:szCs w:val="14"/>
              </w:rPr>
            </w:pPr>
            <w:r>
              <w:rPr>
                <w:rFonts w:ascii="Arial" w:hAnsi="Arial" w:cs="Arial"/>
                <w:color w:val="000000"/>
                <w:sz w:val="14"/>
                <w:szCs w:val="14"/>
              </w:rPr>
              <w:t>+</w:t>
            </w:r>
            <w:r w:rsidR="00495D1D" w:rsidRPr="00495D1D">
              <w:rPr>
                <w:rFonts w:ascii="Arial" w:hAnsi="Arial" w:cs="Arial"/>
                <w:color w:val="000000"/>
                <w:sz w:val="14"/>
                <w:szCs w:val="14"/>
              </w:rPr>
              <w:t>8.2%</w:t>
            </w:r>
          </w:p>
        </w:tc>
      </w:tr>
      <w:tr w:rsidR="00495D1D" w:rsidTr="00495D1D">
        <w:trPr>
          <w:trHeight w:val="57"/>
        </w:trPr>
        <w:tc>
          <w:tcPr>
            <w:tcW w:w="1843" w:type="dxa"/>
            <w:tcBorders>
              <w:top w:val="nil"/>
              <w:left w:val="single" w:sz="4" w:space="0" w:color="7F7F7F"/>
              <w:bottom w:val="nil"/>
              <w:right w:val="single" w:sz="4" w:space="0" w:color="7F7F7F"/>
              <w:tl2br w:val="nil"/>
              <w:tr2bl w:val="nil"/>
            </w:tcBorders>
          </w:tcPr>
          <w:p w:rsidR="00495D1D" w:rsidRPr="006D132F" w:rsidRDefault="00495D1D" w:rsidP="00174F22">
            <w:pPr>
              <w:pStyle w:val="Tabletext"/>
            </w:pPr>
            <w:r>
              <w:t>Postgraduate certificates</w:t>
            </w:r>
          </w:p>
        </w:tc>
        <w:tc>
          <w:tcPr>
            <w:tcW w:w="671"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4</w:t>
            </w:r>
            <w:r>
              <w:rPr>
                <w:rFonts w:ascii="Arial" w:hAnsi="Arial" w:cs="Arial"/>
                <w:color w:val="000000"/>
                <w:sz w:val="14"/>
                <w:szCs w:val="14"/>
              </w:rPr>
              <w:t>,</w:t>
            </w:r>
            <w:r w:rsidRPr="00495D1D">
              <w:rPr>
                <w:rFonts w:ascii="Arial" w:hAnsi="Arial" w:cs="Arial"/>
                <w:color w:val="000000"/>
                <w:sz w:val="14"/>
                <w:szCs w:val="14"/>
              </w:rPr>
              <w:t>593</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rsidP="00495D1D">
            <w:pPr>
              <w:jc w:val="right"/>
              <w:rPr>
                <w:rFonts w:ascii="Arial" w:hAnsi="Arial" w:cs="Arial"/>
                <w:color w:val="000000"/>
                <w:sz w:val="14"/>
                <w:szCs w:val="14"/>
              </w:rPr>
            </w:pPr>
            <w:r w:rsidRPr="00495D1D">
              <w:rPr>
                <w:rFonts w:ascii="Arial" w:hAnsi="Arial" w:cs="Arial"/>
                <w:color w:val="000000"/>
                <w:sz w:val="14"/>
                <w:szCs w:val="14"/>
              </w:rPr>
              <w:t>4</w:t>
            </w:r>
            <w:r>
              <w:rPr>
                <w:rFonts w:ascii="Arial" w:hAnsi="Arial" w:cs="Arial"/>
                <w:color w:val="000000"/>
                <w:sz w:val="14"/>
                <w:szCs w:val="14"/>
              </w:rPr>
              <w:t>,</w:t>
            </w:r>
            <w:r w:rsidRPr="00495D1D">
              <w:rPr>
                <w:rFonts w:ascii="Arial" w:hAnsi="Arial" w:cs="Arial"/>
                <w:color w:val="000000"/>
                <w:sz w:val="14"/>
                <w:szCs w:val="14"/>
              </w:rPr>
              <w:t>390</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4</w:t>
            </w:r>
            <w:r>
              <w:rPr>
                <w:rFonts w:ascii="Arial" w:hAnsi="Arial" w:cs="Arial"/>
                <w:color w:val="000000"/>
                <w:sz w:val="14"/>
                <w:szCs w:val="14"/>
              </w:rPr>
              <w:t>,</w:t>
            </w:r>
            <w:r w:rsidRPr="00495D1D">
              <w:rPr>
                <w:rFonts w:ascii="Arial" w:hAnsi="Arial" w:cs="Arial"/>
                <w:color w:val="000000"/>
                <w:sz w:val="14"/>
                <w:szCs w:val="14"/>
              </w:rPr>
              <w:t>439</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4</w:t>
            </w:r>
            <w:r>
              <w:rPr>
                <w:rFonts w:ascii="Arial" w:hAnsi="Arial" w:cs="Arial"/>
                <w:color w:val="000000"/>
                <w:sz w:val="14"/>
                <w:szCs w:val="14"/>
              </w:rPr>
              <w:t>,</w:t>
            </w:r>
            <w:r w:rsidRPr="00495D1D">
              <w:rPr>
                <w:rFonts w:ascii="Arial" w:hAnsi="Arial" w:cs="Arial"/>
                <w:color w:val="000000"/>
                <w:sz w:val="14"/>
                <w:szCs w:val="14"/>
              </w:rPr>
              <w:t>097</w:t>
            </w:r>
          </w:p>
        </w:tc>
        <w:tc>
          <w:tcPr>
            <w:tcW w:w="672" w:type="dxa"/>
            <w:gridSpan w:val="2"/>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-203</w:t>
            </w:r>
          </w:p>
        </w:tc>
        <w:tc>
          <w:tcPr>
            <w:tcW w:w="671" w:type="dxa"/>
            <w:tcBorders>
              <w:top w:val="nil"/>
              <w:left w:val="single" w:sz="4" w:space="0" w:color="7F7F7F"/>
              <w:bottom w:val="nil"/>
              <w:right w:val="single" w:sz="4" w:space="0" w:color="7F7F7F"/>
              <w:tl2br w:val="nil"/>
              <w:tr2bl w:val="nil"/>
            </w:tcBorders>
            <w:vAlign w:val="bottom"/>
          </w:tcPr>
          <w:p w:rsidR="00495D1D" w:rsidRPr="00495D1D" w:rsidRDefault="00CD5540">
            <w:pPr>
              <w:jc w:val="right"/>
              <w:rPr>
                <w:rFonts w:ascii="Arial" w:hAnsi="Arial" w:cs="Arial"/>
                <w:color w:val="000000"/>
                <w:sz w:val="14"/>
                <w:szCs w:val="14"/>
              </w:rPr>
            </w:pPr>
            <w:r>
              <w:rPr>
                <w:rFonts w:ascii="Arial" w:hAnsi="Arial" w:cs="Arial"/>
                <w:color w:val="000000"/>
                <w:sz w:val="14"/>
                <w:szCs w:val="14"/>
              </w:rPr>
              <w:t>+</w:t>
            </w:r>
            <w:r w:rsidR="00495D1D" w:rsidRPr="00495D1D">
              <w:rPr>
                <w:rFonts w:ascii="Arial" w:hAnsi="Arial" w:cs="Arial"/>
                <w:color w:val="000000"/>
                <w:sz w:val="14"/>
                <w:szCs w:val="14"/>
              </w:rPr>
              <w:t>49</w:t>
            </w:r>
          </w:p>
        </w:tc>
        <w:tc>
          <w:tcPr>
            <w:tcW w:w="672" w:type="dxa"/>
            <w:gridSpan w:val="2"/>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-342</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-4.4%</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CD5540">
            <w:pPr>
              <w:jc w:val="right"/>
              <w:rPr>
                <w:rFonts w:ascii="Arial" w:hAnsi="Arial" w:cs="Arial"/>
                <w:color w:val="000000"/>
                <w:sz w:val="14"/>
                <w:szCs w:val="14"/>
              </w:rPr>
            </w:pPr>
            <w:r>
              <w:rPr>
                <w:rFonts w:ascii="Arial" w:hAnsi="Arial" w:cs="Arial"/>
                <w:color w:val="000000"/>
                <w:sz w:val="14"/>
                <w:szCs w:val="14"/>
              </w:rPr>
              <w:t>+</w:t>
            </w:r>
            <w:r w:rsidR="00495D1D" w:rsidRPr="00495D1D">
              <w:rPr>
                <w:rFonts w:ascii="Arial" w:hAnsi="Arial" w:cs="Arial"/>
                <w:color w:val="000000"/>
                <w:sz w:val="14"/>
                <w:szCs w:val="14"/>
              </w:rPr>
              <w:t>1.1%</w:t>
            </w:r>
          </w:p>
        </w:tc>
        <w:tc>
          <w:tcPr>
            <w:tcW w:w="672" w:type="dxa"/>
            <w:tcBorders>
              <w:top w:val="nil"/>
              <w:left w:val="single" w:sz="4" w:space="0" w:color="7F7F7F"/>
              <w:bottom w:val="nil"/>
              <w:right w:val="single" w:sz="4" w:space="0" w:color="7F7F7F"/>
              <w:tl2br w:val="nil"/>
              <w:tr2bl w:val="nil"/>
            </w:tcBorders>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-7.7%</w:t>
            </w:r>
          </w:p>
        </w:tc>
      </w:tr>
      <w:tr w:rsidR="00495D1D" w:rsidTr="00495D1D">
        <w:trPr>
          <w:trHeight w:val="57"/>
        </w:trPr>
        <w:tc>
          <w:tcPr>
            <w:tcW w:w="1843" w:type="dxa"/>
            <w:tcBorders>
              <w:top w:val="nil"/>
              <w:left w:val="single" w:sz="4" w:space="0" w:color="7F7F7F"/>
              <w:bottom w:val="single" w:sz="4" w:space="0" w:color="7F7F7F"/>
              <w:right w:val="single" w:sz="4" w:space="0" w:color="7F7F7F"/>
              <w:tl2br w:val="nil"/>
              <w:tr2bl w:val="nil"/>
            </w:tcBorders>
            <w:shd w:val="clear" w:color="auto" w:fill="C2D8EA"/>
          </w:tcPr>
          <w:p w:rsidR="00495D1D" w:rsidRPr="006D132F" w:rsidRDefault="00495D1D" w:rsidP="00174F22">
            <w:pPr>
              <w:pStyle w:val="Tabletext"/>
            </w:pPr>
            <w:r>
              <w:t>Postgraduate diplomas</w:t>
            </w:r>
          </w:p>
        </w:tc>
        <w:tc>
          <w:tcPr>
            <w:tcW w:w="671"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9</w:t>
            </w:r>
            <w:r>
              <w:rPr>
                <w:rFonts w:ascii="Arial" w:hAnsi="Arial" w:cs="Arial"/>
                <w:color w:val="000000"/>
                <w:sz w:val="14"/>
                <w:szCs w:val="14"/>
              </w:rPr>
              <w:t>,</w:t>
            </w:r>
            <w:r w:rsidRPr="00495D1D">
              <w:rPr>
                <w:rFonts w:ascii="Arial" w:hAnsi="Arial" w:cs="Arial"/>
                <w:color w:val="000000"/>
                <w:sz w:val="14"/>
                <w:szCs w:val="14"/>
              </w:rPr>
              <w:t>199</w:t>
            </w:r>
          </w:p>
        </w:tc>
        <w:tc>
          <w:tcPr>
            <w:tcW w:w="672"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495D1D" w:rsidRPr="00495D1D" w:rsidRDefault="00495D1D" w:rsidP="00495D1D">
            <w:pPr>
              <w:jc w:val="right"/>
              <w:rPr>
                <w:rFonts w:ascii="Arial" w:hAnsi="Arial" w:cs="Arial"/>
                <w:color w:val="000000"/>
                <w:sz w:val="14"/>
                <w:szCs w:val="14"/>
              </w:rPr>
            </w:pPr>
            <w:r w:rsidRPr="00495D1D">
              <w:rPr>
                <w:rFonts w:ascii="Arial" w:hAnsi="Arial" w:cs="Arial"/>
                <w:color w:val="000000"/>
                <w:sz w:val="14"/>
                <w:szCs w:val="14"/>
              </w:rPr>
              <w:t>8</w:t>
            </w:r>
            <w:r>
              <w:rPr>
                <w:rFonts w:ascii="Arial" w:hAnsi="Arial" w:cs="Arial"/>
                <w:color w:val="000000"/>
                <w:sz w:val="14"/>
                <w:szCs w:val="14"/>
              </w:rPr>
              <w:t>,</w:t>
            </w:r>
            <w:r w:rsidRPr="00495D1D">
              <w:rPr>
                <w:rFonts w:ascii="Arial" w:hAnsi="Arial" w:cs="Arial"/>
                <w:color w:val="000000"/>
                <w:sz w:val="14"/>
                <w:szCs w:val="14"/>
              </w:rPr>
              <w:t>666</w:t>
            </w:r>
          </w:p>
        </w:tc>
        <w:tc>
          <w:tcPr>
            <w:tcW w:w="672"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8</w:t>
            </w:r>
            <w:r>
              <w:rPr>
                <w:rFonts w:ascii="Arial" w:hAnsi="Arial" w:cs="Arial"/>
                <w:color w:val="000000"/>
                <w:sz w:val="14"/>
                <w:szCs w:val="14"/>
              </w:rPr>
              <w:t>,</w:t>
            </w:r>
            <w:r w:rsidRPr="00495D1D">
              <w:rPr>
                <w:rFonts w:ascii="Arial" w:hAnsi="Arial" w:cs="Arial"/>
                <w:color w:val="000000"/>
                <w:sz w:val="14"/>
                <w:szCs w:val="14"/>
              </w:rPr>
              <w:t>611</w:t>
            </w:r>
          </w:p>
        </w:tc>
        <w:tc>
          <w:tcPr>
            <w:tcW w:w="672"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8</w:t>
            </w:r>
            <w:r>
              <w:rPr>
                <w:rFonts w:ascii="Arial" w:hAnsi="Arial" w:cs="Arial"/>
                <w:color w:val="000000"/>
                <w:sz w:val="14"/>
                <w:szCs w:val="14"/>
              </w:rPr>
              <w:t>,</w:t>
            </w:r>
            <w:r w:rsidRPr="00495D1D">
              <w:rPr>
                <w:rFonts w:ascii="Arial" w:hAnsi="Arial" w:cs="Arial"/>
                <w:color w:val="000000"/>
                <w:sz w:val="14"/>
                <w:szCs w:val="14"/>
              </w:rPr>
              <w:t>158</w:t>
            </w:r>
          </w:p>
        </w:tc>
        <w:tc>
          <w:tcPr>
            <w:tcW w:w="672" w:type="dxa"/>
            <w:gridSpan w:val="2"/>
            <w:tcBorders>
              <w:top w:val="nil"/>
              <w:left w:val="single" w:sz="4" w:space="0" w:color="7F7F7F"/>
              <w:bottom w:val="single" w:sz="4" w:space="0" w:color="7F7F7F"/>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-533</w:t>
            </w:r>
          </w:p>
        </w:tc>
        <w:tc>
          <w:tcPr>
            <w:tcW w:w="671"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-55</w:t>
            </w:r>
          </w:p>
        </w:tc>
        <w:tc>
          <w:tcPr>
            <w:tcW w:w="672" w:type="dxa"/>
            <w:gridSpan w:val="2"/>
            <w:tcBorders>
              <w:top w:val="nil"/>
              <w:left w:val="single" w:sz="4" w:space="0" w:color="7F7F7F"/>
              <w:bottom w:val="single" w:sz="4" w:space="0" w:color="7F7F7F"/>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-453</w:t>
            </w:r>
          </w:p>
        </w:tc>
        <w:tc>
          <w:tcPr>
            <w:tcW w:w="672"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-5.8%</w:t>
            </w:r>
          </w:p>
        </w:tc>
        <w:tc>
          <w:tcPr>
            <w:tcW w:w="672"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-0.6%</w:t>
            </w:r>
          </w:p>
        </w:tc>
        <w:tc>
          <w:tcPr>
            <w:tcW w:w="672" w:type="dxa"/>
            <w:tcBorders>
              <w:top w:val="nil"/>
              <w:left w:val="single" w:sz="4" w:space="0" w:color="7F7F7F"/>
              <w:bottom w:val="single" w:sz="4" w:space="0" w:color="7F7F7F"/>
              <w:right w:val="single" w:sz="4" w:space="0" w:color="7F7F7F"/>
              <w:tl2br w:val="nil"/>
              <w:tr2bl w:val="nil"/>
            </w:tcBorders>
            <w:shd w:val="clear" w:color="auto" w:fill="C2D8EA"/>
            <w:vAlign w:val="bottom"/>
          </w:tcPr>
          <w:p w:rsidR="00495D1D" w:rsidRPr="00495D1D" w:rsidRDefault="00495D1D">
            <w:pPr>
              <w:jc w:val="right"/>
              <w:rPr>
                <w:rFonts w:ascii="Arial" w:hAnsi="Arial" w:cs="Arial"/>
                <w:color w:val="000000"/>
                <w:sz w:val="14"/>
                <w:szCs w:val="14"/>
              </w:rPr>
            </w:pPr>
            <w:r w:rsidRPr="00495D1D">
              <w:rPr>
                <w:rFonts w:ascii="Arial" w:hAnsi="Arial" w:cs="Arial"/>
                <w:color w:val="000000"/>
                <w:sz w:val="14"/>
                <w:szCs w:val="14"/>
              </w:rPr>
              <w:t>-5.3%</w:t>
            </w:r>
          </w:p>
        </w:tc>
      </w:tr>
    </w:tbl>
    <w:p w:rsidR="00640ECF" w:rsidRDefault="00A42A5C" w:rsidP="00640ECF">
      <w:pPr>
        <w:pStyle w:val="Heading4"/>
        <w:spacing w:before="360"/>
      </w:pPr>
      <w:r>
        <w:t>S</w:t>
      </w:r>
      <w:r w:rsidR="00BE073B">
        <w:t>hift from lower- to higher-</w:t>
      </w:r>
      <w:r w:rsidR="000F634C">
        <w:t xml:space="preserve">level </w:t>
      </w:r>
      <w:r w:rsidR="00BE073B">
        <w:t>qualifications</w:t>
      </w:r>
    </w:p>
    <w:p w:rsidR="00ED68DB" w:rsidRDefault="00C13C84" w:rsidP="000E4534">
      <w:pPr>
        <w:pStyle w:val="BodyText"/>
      </w:pPr>
      <w:r>
        <w:t>The proportion of</w:t>
      </w:r>
      <w:r w:rsidR="004E42F0">
        <w:t xml:space="preserve"> domestic students enrolled in lev</w:t>
      </w:r>
      <w:r w:rsidR="000F634C">
        <w:t>el 4 and higher qualifications</w:t>
      </w:r>
      <w:r w:rsidR="002B48DF">
        <w:t xml:space="preserve"> </w:t>
      </w:r>
      <w:r>
        <w:t xml:space="preserve">was 76 percent </w:t>
      </w:r>
      <w:r w:rsidR="002B48DF">
        <w:t xml:space="preserve">in </w:t>
      </w:r>
      <w:r w:rsidR="00D605CB">
        <w:t>2013</w:t>
      </w:r>
      <w:r>
        <w:t xml:space="preserve"> and 77 percent in 2012.  This compared to 64 percent in 2005 </w:t>
      </w:r>
      <w:r w:rsidR="002B48DF">
        <w:t>– the lowest point in recent years</w:t>
      </w:r>
      <w:r w:rsidR="00C52EE2">
        <w:t>.</w:t>
      </w:r>
      <w:r w:rsidR="00763D24">
        <w:t xml:space="preserve">  </w:t>
      </w:r>
      <w:r w:rsidR="00FE1ED9">
        <w:t>T</w:t>
      </w:r>
      <w:r w:rsidR="004E42F0">
        <w:t xml:space="preserve">he percentages of domestic students in degree </w:t>
      </w:r>
      <w:r w:rsidR="00AA543C">
        <w:t>and higher qualifications</w:t>
      </w:r>
      <w:r w:rsidR="00FE1ED9">
        <w:t xml:space="preserve"> </w:t>
      </w:r>
      <w:r>
        <w:t xml:space="preserve">from 2005 to 2013 </w:t>
      </w:r>
      <w:r w:rsidR="00FE1ED9">
        <w:t xml:space="preserve">are shown in </w:t>
      </w:r>
      <w:r w:rsidR="005B67D2">
        <w:fldChar w:fldCharType="begin"/>
      </w:r>
      <w:r w:rsidR="00A95BC0">
        <w:instrText xml:space="preserve"> REF _Ref321989452 \h </w:instrText>
      </w:r>
      <w:r w:rsidR="005B67D2">
        <w:fldChar w:fldCharType="separate"/>
      </w:r>
      <w:r w:rsidR="00375A85">
        <w:t xml:space="preserve">Figure </w:t>
      </w:r>
      <w:r w:rsidR="00375A85">
        <w:rPr>
          <w:noProof/>
        </w:rPr>
        <w:t>4</w:t>
      </w:r>
      <w:r w:rsidR="00375A85">
        <w:t>.</w:t>
      </w:r>
      <w:r w:rsidR="00375A85">
        <w:rPr>
          <w:noProof/>
        </w:rPr>
        <w:t>1</w:t>
      </w:r>
      <w:r w:rsidR="005B67D2">
        <w:fldChar w:fldCharType="end"/>
      </w:r>
      <w:r w:rsidR="00E5542C">
        <w:t>.</w:t>
      </w:r>
      <w:r w:rsidR="000432A9">
        <w:t xml:space="preserve"> In terms of equivalent full-time student units, the decrease from 2012 to 2013 in study at level 4 and above was slightly larger.</w:t>
      </w:r>
    </w:p>
    <w:p w:rsidR="00BE4628" w:rsidRDefault="00BE4628" w:rsidP="008135D5">
      <w:pPr>
        <w:pStyle w:val="BodyText"/>
      </w:pPr>
      <w:r>
        <w:t xml:space="preserve">From 2005 to 2013, the number of domestic students </w:t>
      </w:r>
      <w:r w:rsidR="00624372">
        <w:t xml:space="preserve">enrolled </w:t>
      </w:r>
      <w:r>
        <w:t xml:space="preserve">in </w:t>
      </w:r>
      <w:proofErr w:type="spellStart"/>
      <w:r>
        <w:t>bachelors</w:t>
      </w:r>
      <w:proofErr w:type="spellEnd"/>
      <w:r>
        <w:t xml:space="preserve"> degrees increased more, proportionately, than those in other qualification levels – up by 10 percentage points to 35 percent of total domestic enrolments.</w:t>
      </w:r>
    </w:p>
    <w:p w:rsidR="00BE4628" w:rsidRDefault="00BE4628" w:rsidP="00BE4628">
      <w:pPr>
        <w:pStyle w:val="BodyText"/>
      </w:pPr>
      <w:r>
        <w:t xml:space="preserve">The proportion of domestic students </w:t>
      </w:r>
      <w:r w:rsidR="00624372">
        <w:t xml:space="preserve">enrolled </w:t>
      </w:r>
      <w:r>
        <w:t>in honours</w:t>
      </w:r>
      <w:r w:rsidR="001C60E7">
        <w:rPr>
          <w:rStyle w:val="FootnoteReference"/>
        </w:rPr>
        <w:footnoteReference w:id="9"/>
      </w:r>
      <w:r>
        <w:t xml:space="preserve"> increased by 2.2 percentage points from 2005 to 2013 to 6.3 percent of total domestic enrolments.</w:t>
      </w:r>
    </w:p>
    <w:p w:rsidR="00BE4628" w:rsidRDefault="00BE4628" w:rsidP="00BE4628">
      <w:pPr>
        <w:pStyle w:val="BodyText"/>
      </w:pPr>
      <w:r>
        <w:t>The proportion of domestic students enrolled in graduate certificates and diplomas continued to remain stable for many years at around 3 percent of total domestic enrolments.</w:t>
      </w:r>
    </w:p>
    <w:p w:rsidR="00BE4628" w:rsidRDefault="00BE4628" w:rsidP="00BE4628">
      <w:pPr>
        <w:pStyle w:val="BodyText"/>
      </w:pPr>
      <w:r>
        <w:lastRenderedPageBreak/>
        <w:t>Domestic students enrolled in masters degrees increased, proportionately, from 2.5 percent in 2005 to 3.2 percent 2013. For doctorate degrees, the proportion has slowly increased from 0.9 percent in 2005 to 1.4 percent in 2013.</w:t>
      </w:r>
    </w:p>
    <w:p w:rsidR="00244F16" w:rsidRDefault="00244F16" w:rsidP="00244F16">
      <w:pPr>
        <w:pStyle w:val="Caption"/>
      </w:pPr>
      <w:bookmarkStart w:id="35" w:name="_Ref321989452"/>
      <w:proofErr w:type="gramStart"/>
      <w:r>
        <w:t xml:space="preserve">Figure </w:t>
      </w:r>
      <w:r w:rsidR="005B67D2">
        <w:fldChar w:fldCharType="begin"/>
      </w:r>
      <w:r w:rsidR="00B5211F">
        <w:instrText xml:space="preserve"> STYLEREF 1 \s </w:instrText>
      </w:r>
      <w:r w:rsidR="005B67D2">
        <w:fldChar w:fldCharType="separate"/>
      </w:r>
      <w:r w:rsidR="00375A85">
        <w:rPr>
          <w:noProof/>
        </w:rPr>
        <w:t>4</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1</w:t>
      </w:r>
      <w:r w:rsidR="005B67D2">
        <w:fldChar w:fldCharType="end"/>
      </w:r>
      <w:bookmarkEnd w:id="35"/>
    </w:p>
    <w:p w:rsidR="00244F16" w:rsidRDefault="00244F16" w:rsidP="00BE4628">
      <w:pPr>
        <w:pStyle w:val="Figurelabel"/>
        <w:spacing w:after="0"/>
      </w:pPr>
      <w:bookmarkStart w:id="36" w:name="_Toc384292896"/>
      <w:r>
        <w:t xml:space="preserve">Distribution of domestic students in degree </w:t>
      </w:r>
      <w:r w:rsidR="00AA543C">
        <w:t>and higher qualifications</w:t>
      </w:r>
      <w:bookmarkEnd w:id="36"/>
    </w:p>
    <w:p w:rsidR="00244F16" w:rsidRDefault="00252EA8" w:rsidP="00BE4628">
      <w:pPr>
        <w:pStyle w:val="BodyText"/>
        <w:spacing w:after="0"/>
      </w:pPr>
      <w:r w:rsidRPr="00252EA8">
        <w:rPr>
          <w:noProof/>
          <w:lang w:eastAsia="en-NZ"/>
        </w:rPr>
        <w:drawing>
          <wp:inline distT="0" distB="0" distL="0" distR="0">
            <wp:extent cx="5372100" cy="3924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372100" cy="3924300"/>
                    </a:xfrm>
                    <a:prstGeom prst="rect">
                      <a:avLst/>
                    </a:prstGeom>
                    <a:noFill/>
                    <a:ln w="9525">
                      <a:noFill/>
                      <a:miter lim="800000"/>
                      <a:headEnd/>
                      <a:tailEnd/>
                    </a:ln>
                  </pic:spPr>
                </pic:pic>
              </a:graphicData>
            </a:graphic>
          </wp:inline>
        </w:drawing>
      </w:r>
    </w:p>
    <w:p w:rsidR="00FF5C97" w:rsidRDefault="00FF5C97" w:rsidP="00763D24">
      <w:pPr>
        <w:pStyle w:val="Note"/>
        <w:spacing w:before="0" w:after="0"/>
      </w:pPr>
      <w:r>
        <w:t>Note</w:t>
      </w:r>
      <w:r w:rsidR="008E208A">
        <w:t>s</w:t>
      </w:r>
      <w:r>
        <w:t>:</w:t>
      </w:r>
    </w:p>
    <w:p w:rsidR="00640ECF" w:rsidRPr="00640ECF" w:rsidRDefault="00C13C84" w:rsidP="00EE5D8C">
      <w:pPr>
        <w:pStyle w:val="Note"/>
        <w:numPr>
          <w:ilvl w:val="0"/>
          <w:numId w:val="3"/>
        </w:numPr>
        <w:spacing w:before="0" w:after="0"/>
        <w:ind w:left="426" w:hanging="426"/>
      </w:pPr>
      <w:r>
        <w:t>‘Honours’</w:t>
      </w:r>
      <w:r w:rsidR="00FF5C97">
        <w:t xml:space="preserve"> includes bachelors with honours </w:t>
      </w:r>
      <w:r w:rsidR="00267D38">
        <w:t xml:space="preserve">degrees </w:t>
      </w:r>
      <w:r w:rsidR="00FF5C97">
        <w:t>an</w:t>
      </w:r>
      <w:r w:rsidR="00BF4566">
        <w:t>d postgraduate certificates/</w:t>
      </w:r>
      <w:r w:rsidR="00FF5C97">
        <w:t>diplomas.</w:t>
      </w:r>
    </w:p>
    <w:p w:rsidR="001D1D5D" w:rsidRDefault="00FD0726" w:rsidP="00EE5D8C">
      <w:pPr>
        <w:pStyle w:val="Note"/>
        <w:numPr>
          <w:ilvl w:val="0"/>
          <w:numId w:val="3"/>
        </w:numPr>
        <w:spacing w:before="0" w:after="0"/>
        <w:ind w:left="425" w:hanging="425"/>
      </w:pPr>
      <w:r>
        <w:t>S</w:t>
      </w:r>
      <w:r w:rsidR="001D1D5D">
        <w:t xml:space="preserve">tudents </w:t>
      </w:r>
      <w:r>
        <w:t xml:space="preserve">are counted in </w:t>
      </w:r>
      <w:r w:rsidR="00896E75">
        <w:t xml:space="preserve">each </w:t>
      </w:r>
      <w:r>
        <w:t>qualification level for which they are enrolled so the sum of t</w:t>
      </w:r>
      <w:r w:rsidR="00640ECF">
        <w:t>he percentages will exceed 100%.</w:t>
      </w:r>
    </w:p>
    <w:p w:rsidR="00640ECF" w:rsidRPr="00640ECF" w:rsidRDefault="00640ECF" w:rsidP="00640ECF">
      <w:pPr>
        <w:pStyle w:val="Note"/>
        <w:tabs>
          <w:tab w:val="left" w:pos="426"/>
        </w:tabs>
        <w:spacing w:before="0"/>
      </w:pPr>
      <w:r>
        <w:t>3.</w:t>
      </w:r>
      <w:r>
        <w:tab/>
        <w:t>In terms of equivalent full-time student units, bac</w:t>
      </w:r>
      <w:r w:rsidR="00BF4566">
        <w:t>helors</w:t>
      </w:r>
      <w:r w:rsidR="00763BE6">
        <w:t>-level</w:t>
      </w:r>
      <w:r w:rsidR="00BF4566">
        <w:t xml:space="preserve"> study comprised 44</w:t>
      </w:r>
      <w:r>
        <w:t xml:space="preserve"> percent of total </w:t>
      </w:r>
      <w:r w:rsidR="00C13C84">
        <w:t xml:space="preserve">domestic </w:t>
      </w:r>
      <w:r>
        <w:t xml:space="preserve">study in </w:t>
      </w:r>
      <w:r w:rsidR="00D605CB">
        <w:t>2013</w:t>
      </w:r>
      <w:r>
        <w:t>.</w:t>
      </w:r>
    </w:p>
    <w:p w:rsidR="00764323" w:rsidRDefault="00E811BE" w:rsidP="00BE4628">
      <w:pPr>
        <w:pStyle w:val="BodyText"/>
        <w:spacing w:before="360"/>
      </w:pPr>
      <w:r>
        <w:t xml:space="preserve">The percentage of domestic students enrolled in </w:t>
      </w:r>
      <w:r w:rsidR="00D82DA5">
        <w:t>level</w:t>
      </w:r>
      <w:r>
        <w:t xml:space="preserve"> 1 to 3</w:t>
      </w:r>
      <w:r w:rsidR="00D82DA5">
        <w:t xml:space="preserve"> certificates</w:t>
      </w:r>
      <w:r>
        <w:t xml:space="preserve"> </w:t>
      </w:r>
      <w:r w:rsidR="00014A51">
        <w:t xml:space="preserve">overall </w:t>
      </w:r>
      <w:r>
        <w:t xml:space="preserve">has decreased from a high point </w:t>
      </w:r>
      <w:r w:rsidR="00D82DA5">
        <w:t>of 43 percent</w:t>
      </w:r>
      <w:r w:rsidR="00AD2E21">
        <w:t xml:space="preserve"> in 2005</w:t>
      </w:r>
      <w:r w:rsidR="00D82DA5">
        <w:t xml:space="preserve"> to 28</w:t>
      </w:r>
      <w:r>
        <w:t xml:space="preserve"> percent in </w:t>
      </w:r>
      <w:r w:rsidR="00D605CB">
        <w:t>2013</w:t>
      </w:r>
      <w:r>
        <w:t xml:space="preserve">. </w:t>
      </w:r>
      <w:r w:rsidR="00780F3F">
        <w:t xml:space="preserve">In 2005, domestic enrolments in level </w:t>
      </w:r>
      <w:r>
        <w:t>3 certificate</w:t>
      </w:r>
      <w:r w:rsidR="00780F3F">
        <w:t>s</w:t>
      </w:r>
      <w:r w:rsidR="00AD2E21">
        <w:t xml:space="preserve"> </w:t>
      </w:r>
      <w:r w:rsidR="00780F3F">
        <w:t xml:space="preserve">comprised 20 percent of </w:t>
      </w:r>
      <w:r>
        <w:t xml:space="preserve">total </w:t>
      </w:r>
      <w:r w:rsidR="00780F3F">
        <w:t xml:space="preserve">enrolments </w:t>
      </w:r>
      <w:r>
        <w:t xml:space="preserve">and </w:t>
      </w:r>
      <w:r w:rsidR="00780F3F">
        <w:t xml:space="preserve">those in </w:t>
      </w:r>
      <w:r>
        <w:t>le</w:t>
      </w:r>
      <w:r w:rsidR="00B4186D">
        <w:t xml:space="preserve">vel 2 certificates </w:t>
      </w:r>
      <w:r w:rsidR="00780F3F">
        <w:t xml:space="preserve">comprised </w:t>
      </w:r>
      <w:r w:rsidR="00B4186D">
        <w:t>2</w:t>
      </w:r>
      <w:r w:rsidR="00780F3F">
        <w:t>1</w:t>
      </w:r>
      <w:r w:rsidR="00B4186D">
        <w:t xml:space="preserve"> percent.</w:t>
      </w:r>
      <w:r w:rsidR="00AD2E21">
        <w:t xml:space="preserve"> </w:t>
      </w:r>
      <w:r w:rsidR="00B4186D">
        <w:t xml:space="preserve"> </w:t>
      </w:r>
      <w:r w:rsidR="00780F3F">
        <w:t xml:space="preserve">By 2013, </w:t>
      </w:r>
      <w:r>
        <w:t>level 3 ce</w:t>
      </w:r>
      <w:r w:rsidR="00AD2E21">
        <w:t xml:space="preserve">rtificates </w:t>
      </w:r>
      <w:r w:rsidR="00014A51">
        <w:t xml:space="preserve">had dropped to 16 percent of total enrolments and </w:t>
      </w:r>
      <w:r>
        <w:t>level 2 certificates</w:t>
      </w:r>
      <w:r w:rsidR="00014A51">
        <w:t xml:space="preserve"> to 12 percent</w:t>
      </w:r>
      <w:r w:rsidR="00B4186D">
        <w:t>.</w:t>
      </w:r>
    </w:p>
    <w:p w:rsidR="00E811BE" w:rsidRDefault="00764323" w:rsidP="009E1CAD">
      <w:pPr>
        <w:pStyle w:val="BodyText"/>
      </w:pPr>
      <w:r>
        <w:t>F</w:t>
      </w:r>
      <w:r w:rsidR="00C648E3">
        <w:t>rom 2012 to 2013</w:t>
      </w:r>
      <w:r>
        <w:t>,</w:t>
      </w:r>
      <w:r w:rsidR="00C648E3">
        <w:t xml:space="preserve"> the proportion of enrolments in level 3</w:t>
      </w:r>
      <w:r w:rsidR="00014A51">
        <w:t xml:space="preserve"> certificates increased by 0.6 percentage points</w:t>
      </w:r>
      <w:r>
        <w:t xml:space="preserve"> to 16 percent</w:t>
      </w:r>
      <w:r w:rsidR="00C648E3">
        <w:t>.  The proportion of enrolments in level</w:t>
      </w:r>
      <w:r w:rsidR="00763BE6">
        <w:t xml:space="preserve"> 1 </w:t>
      </w:r>
      <w:proofErr w:type="gramStart"/>
      <w:r w:rsidR="00763BE6">
        <w:t>certificates</w:t>
      </w:r>
      <w:proofErr w:type="gramEnd"/>
      <w:r w:rsidR="00763BE6">
        <w:t xml:space="preserve"> </w:t>
      </w:r>
      <w:r w:rsidR="00C648E3">
        <w:t xml:space="preserve">also </w:t>
      </w:r>
      <w:r w:rsidR="00763BE6">
        <w:t xml:space="preserve">increased </w:t>
      </w:r>
      <w:r w:rsidR="00C648E3">
        <w:t xml:space="preserve">from 2012 to 2013 </w:t>
      </w:r>
      <w:r w:rsidR="00763BE6">
        <w:t>by 1</w:t>
      </w:r>
      <w:r w:rsidR="00C648E3">
        <w:t>.0</w:t>
      </w:r>
      <w:r w:rsidR="00763BE6">
        <w:t xml:space="preserve"> percentage point</w:t>
      </w:r>
      <w:r w:rsidR="00C648E3">
        <w:t>s</w:t>
      </w:r>
      <w:r w:rsidR="00763BE6">
        <w:t xml:space="preserve"> to 4.1 percent.</w:t>
      </w:r>
      <w:r w:rsidR="00540389">
        <w:t xml:space="preserve"> When c</w:t>
      </w:r>
      <w:r w:rsidR="00EF26AA">
        <w:t xml:space="preserve">ompared to 2005, </w:t>
      </w:r>
      <w:r>
        <w:t xml:space="preserve">the percentage of </w:t>
      </w:r>
      <w:r w:rsidR="00EF26AA">
        <w:t xml:space="preserve">enrolments in level 1 </w:t>
      </w:r>
      <w:proofErr w:type="gramStart"/>
      <w:r w:rsidR="00EF26AA">
        <w:t>certificates</w:t>
      </w:r>
      <w:proofErr w:type="gramEnd"/>
      <w:r w:rsidR="00EF26AA">
        <w:t xml:space="preserve"> </w:t>
      </w:r>
      <w:r>
        <w:t>is</w:t>
      </w:r>
      <w:r w:rsidR="00EF26AA">
        <w:t xml:space="preserve"> now about 3 percentage points </w:t>
      </w:r>
      <w:r>
        <w:t>lower</w:t>
      </w:r>
      <w:r w:rsidR="00EF26AA">
        <w:t>.</w:t>
      </w:r>
    </w:p>
    <w:p w:rsidR="00EF26AA" w:rsidRDefault="00746B79" w:rsidP="009E1CAD">
      <w:pPr>
        <w:pStyle w:val="BodyText"/>
      </w:pPr>
      <w:r>
        <w:t>The number of d</w:t>
      </w:r>
      <w:r w:rsidR="00E811BE">
        <w:t xml:space="preserve">omestic students enrolled in level 4 certificates </w:t>
      </w:r>
      <w:r w:rsidR="00EF26AA">
        <w:t>continued to decrease in 2013</w:t>
      </w:r>
      <w:r w:rsidR="00E811BE">
        <w:t xml:space="preserve">, </w:t>
      </w:r>
      <w:r w:rsidR="00EF26AA">
        <w:t xml:space="preserve">and, </w:t>
      </w:r>
      <w:r w:rsidR="00E811BE">
        <w:t xml:space="preserve">proportionately, </w:t>
      </w:r>
      <w:r w:rsidR="00EF26AA">
        <w:t>these enrolments are now 2.1</w:t>
      </w:r>
      <w:r w:rsidR="00E811BE">
        <w:t xml:space="preserve"> percentage points</w:t>
      </w:r>
      <w:r w:rsidR="00B4186D">
        <w:t xml:space="preserve"> </w:t>
      </w:r>
      <w:r w:rsidR="00EF26AA">
        <w:t xml:space="preserve">lower than in </w:t>
      </w:r>
      <w:r w:rsidR="00B4186D">
        <w:t xml:space="preserve">2005. In </w:t>
      </w:r>
      <w:r w:rsidR="00D605CB">
        <w:t>2013</w:t>
      </w:r>
      <w:r w:rsidR="00EF26AA">
        <w:t>, 16</w:t>
      </w:r>
      <w:r w:rsidR="00E811BE">
        <w:t xml:space="preserve"> percent of students were enr</w:t>
      </w:r>
      <w:r w:rsidR="00EF26AA">
        <w:t>olled in level 4 certificates.</w:t>
      </w:r>
    </w:p>
    <w:p w:rsidR="00E811BE" w:rsidRDefault="00E811BE" w:rsidP="00B61141">
      <w:pPr>
        <w:pStyle w:val="BodyText"/>
        <w:spacing w:after="120"/>
      </w:pPr>
      <w:r>
        <w:t>Students enrolled in level 5 to 7 diplom</w:t>
      </w:r>
      <w:r w:rsidR="00D770FC">
        <w:t>as</w:t>
      </w:r>
      <w:r>
        <w:t xml:space="preserve"> </w:t>
      </w:r>
      <w:r w:rsidR="00EF26AA">
        <w:t>were</w:t>
      </w:r>
      <w:r>
        <w:t xml:space="preserve"> the only group studying non-degree qualifications to </w:t>
      </w:r>
      <w:r w:rsidR="00EF26AA">
        <w:t>be</w:t>
      </w:r>
      <w:r w:rsidR="00D770FC">
        <w:t xml:space="preserve"> </w:t>
      </w:r>
      <w:r w:rsidR="00EF26AA">
        <w:t>at the same level</w:t>
      </w:r>
      <w:r w:rsidR="00D770FC">
        <w:t>, proportionately,</w:t>
      </w:r>
      <w:r w:rsidR="00EF26AA">
        <w:t xml:space="preserve"> in</w:t>
      </w:r>
      <w:r>
        <w:t xml:space="preserve"> 2005</w:t>
      </w:r>
      <w:r w:rsidR="00D770FC">
        <w:t xml:space="preserve"> as in 2013. </w:t>
      </w:r>
      <w:r w:rsidR="00E82167">
        <w:t xml:space="preserve"> </w:t>
      </w:r>
      <w:r w:rsidR="00EF26AA">
        <w:t xml:space="preserve">However, </w:t>
      </w:r>
      <w:r w:rsidR="00E82167">
        <w:t xml:space="preserve">the number of enrolments in level 5 to 7 diplomas </w:t>
      </w:r>
      <w:r w:rsidR="00767FF4">
        <w:t>rose strongly in 2010 and 2011</w:t>
      </w:r>
      <w:r w:rsidR="00E82167">
        <w:t xml:space="preserve"> </w:t>
      </w:r>
      <w:r w:rsidR="00552F00">
        <w:t>pushing up the percentage of enrolments at this level to over 16 percent of total enrolments</w:t>
      </w:r>
      <w:r w:rsidR="00D770FC">
        <w:t xml:space="preserve">. </w:t>
      </w:r>
      <w:r w:rsidR="00552F00">
        <w:t xml:space="preserve">Then, from 2011 onwards these enrolments decreased substantially causing level 5 to 7 enrolments as a percentage of total enrolments to decline to </w:t>
      </w:r>
      <w:r w:rsidR="00D770FC">
        <w:t>14 percent</w:t>
      </w:r>
      <w:r w:rsidR="00552F00">
        <w:t xml:space="preserve"> by 2013</w:t>
      </w:r>
      <w:r w:rsidR="00D770FC">
        <w:t>.</w:t>
      </w:r>
    </w:p>
    <w:p w:rsidR="00C26783" w:rsidRDefault="00C26783" w:rsidP="00C26783">
      <w:pPr>
        <w:pStyle w:val="Caption"/>
      </w:pPr>
      <w:proofErr w:type="gramStart"/>
      <w:r>
        <w:lastRenderedPageBreak/>
        <w:t xml:space="preserve">Figure </w:t>
      </w:r>
      <w:r w:rsidR="005B67D2">
        <w:fldChar w:fldCharType="begin"/>
      </w:r>
      <w:r w:rsidR="00B5211F">
        <w:instrText xml:space="preserve"> STYLEREF 1 \s </w:instrText>
      </w:r>
      <w:r w:rsidR="005B67D2">
        <w:fldChar w:fldCharType="separate"/>
      </w:r>
      <w:r w:rsidR="00375A85">
        <w:rPr>
          <w:noProof/>
        </w:rPr>
        <w:t>4</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2</w:t>
      </w:r>
      <w:r w:rsidR="005B67D2">
        <w:fldChar w:fldCharType="end"/>
      </w:r>
    </w:p>
    <w:p w:rsidR="00C26783" w:rsidRPr="00C26783" w:rsidRDefault="00C26783" w:rsidP="00B61141">
      <w:pPr>
        <w:pStyle w:val="Figurelabel"/>
        <w:spacing w:after="0"/>
      </w:pPr>
      <w:bookmarkStart w:id="37" w:name="_Toc384292897"/>
      <w:r>
        <w:t>Distribution of domestic students in non-degree qualifications</w:t>
      </w:r>
      <w:bookmarkEnd w:id="37"/>
    </w:p>
    <w:p w:rsidR="00AA543C" w:rsidRPr="00B61141" w:rsidRDefault="00AB21EC" w:rsidP="00975833">
      <w:pPr>
        <w:pStyle w:val="BodyText"/>
        <w:rPr>
          <w:sz w:val="16"/>
          <w:szCs w:val="16"/>
        </w:rPr>
      </w:pPr>
      <w:r w:rsidRPr="00AB21EC">
        <w:rPr>
          <w:noProof/>
          <w:lang w:eastAsia="en-NZ"/>
        </w:rPr>
        <w:drawing>
          <wp:inline distT="0" distB="0" distL="0" distR="0">
            <wp:extent cx="5400040" cy="3524237"/>
            <wp:effectExtent l="1905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400040" cy="3524237"/>
                    </a:xfrm>
                    <a:prstGeom prst="rect">
                      <a:avLst/>
                    </a:prstGeom>
                    <a:noFill/>
                    <a:ln w="9525">
                      <a:noFill/>
                      <a:miter lim="800000"/>
                      <a:headEnd/>
                      <a:tailEnd/>
                    </a:ln>
                  </pic:spPr>
                </pic:pic>
              </a:graphicData>
            </a:graphic>
          </wp:inline>
        </w:drawing>
      </w:r>
    </w:p>
    <w:p w:rsidR="007B6819" w:rsidRDefault="008E208A" w:rsidP="00EA7DEE">
      <w:pPr>
        <w:pStyle w:val="Note"/>
        <w:spacing w:before="240" w:after="0"/>
      </w:pPr>
      <w:r>
        <w:t>Note</w:t>
      </w:r>
      <w:r w:rsidR="007B6819">
        <w:t>s:</w:t>
      </w:r>
    </w:p>
    <w:p w:rsidR="008E208A" w:rsidRDefault="008E208A" w:rsidP="00EA7DEE">
      <w:pPr>
        <w:pStyle w:val="Note"/>
        <w:numPr>
          <w:ilvl w:val="0"/>
          <w:numId w:val="6"/>
        </w:numPr>
        <w:spacing w:before="0" w:after="0"/>
        <w:ind w:left="357" w:hanging="357"/>
      </w:pPr>
      <w:r>
        <w:t xml:space="preserve">Students are counted in </w:t>
      </w:r>
      <w:r w:rsidR="00896E75">
        <w:t xml:space="preserve">each </w:t>
      </w:r>
      <w:r>
        <w:t>qualification level for which they are enrolled so the sum of the percentages will exceed 100%.</w:t>
      </w:r>
    </w:p>
    <w:p w:rsidR="007B6819" w:rsidRPr="00FB5F62" w:rsidRDefault="007B6819" w:rsidP="007B6819">
      <w:pPr>
        <w:pStyle w:val="TRNormal"/>
        <w:numPr>
          <w:ilvl w:val="0"/>
          <w:numId w:val="6"/>
        </w:numPr>
        <w:tabs>
          <w:tab w:val="left" w:pos="426"/>
        </w:tabs>
        <w:jc w:val="both"/>
        <w:rPr>
          <w:sz w:val="14"/>
          <w:szCs w:val="14"/>
        </w:rPr>
      </w:pPr>
      <w:r w:rsidRPr="00FB5F62">
        <w:rPr>
          <w:sz w:val="14"/>
          <w:szCs w:val="14"/>
        </w:rPr>
        <w:t>The increase</w:t>
      </w:r>
      <w:r>
        <w:rPr>
          <w:sz w:val="14"/>
          <w:szCs w:val="14"/>
        </w:rPr>
        <w:t xml:space="preserve"> </w:t>
      </w:r>
      <w:r w:rsidR="00375A85" w:rsidRPr="00FB5F62">
        <w:rPr>
          <w:sz w:val="14"/>
          <w:szCs w:val="14"/>
        </w:rPr>
        <w:t xml:space="preserve">from 2012 to 2013 </w:t>
      </w:r>
      <w:r>
        <w:rPr>
          <w:sz w:val="14"/>
          <w:szCs w:val="14"/>
        </w:rPr>
        <w:t xml:space="preserve">in the </w:t>
      </w:r>
      <w:r w:rsidR="00EA7DEE">
        <w:rPr>
          <w:sz w:val="14"/>
          <w:szCs w:val="14"/>
        </w:rPr>
        <w:t>proportion</w:t>
      </w:r>
      <w:r>
        <w:rPr>
          <w:sz w:val="14"/>
          <w:szCs w:val="14"/>
        </w:rPr>
        <w:t xml:space="preserve"> of students enrolled</w:t>
      </w:r>
      <w:r w:rsidRPr="00FB5F62">
        <w:rPr>
          <w:sz w:val="14"/>
          <w:szCs w:val="14"/>
        </w:rPr>
        <w:t xml:space="preserve"> in level 1 </w:t>
      </w:r>
      <w:proofErr w:type="gramStart"/>
      <w:r w:rsidRPr="00FB5F62">
        <w:rPr>
          <w:sz w:val="14"/>
          <w:szCs w:val="14"/>
        </w:rPr>
        <w:t>certificates</w:t>
      </w:r>
      <w:proofErr w:type="gramEnd"/>
      <w:r w:rsidRPr="00FB5F62">
        <w:rPr>
          <w:sz w:val="14"/>
          <w:szCs w:val="14"/>
        </w:rPr>
        <w:t xml:space="preserve"> was mainly due to more private training establishments providing information on their total e</w:t>
      </w:r>
      <w:r w:rsidR="00375A85">
        <w:rPr>
          <w:sz w:val="14"/>
          <w:szCs w:val="14"/>
        </w:rPr>
        <w:t xml:space="preserve">nrolments in 2013. </w:t>
      </w:r>
      <w:r w:rsidRPr="00FB5F62">
        <w:rPr>
          <w:sz w:val="14"/>
          <w:szCs w:val="14"/>
        </w:rPr>
        <w:t>The increase from 2012 to 2013 in student achievement component-funded level 1 certificate enrolments was just over 300.</w:t>
      </w:r>
    </w:p>
    <w:p w:rsidR="00EA1211" w:rsidRDefault="00EA1211" w:rsidP="00EA7DEE">
      <w:pPr>
        <w:pStyle w:val="Heading4"/>
        <w:spacing w:before="480"/>
      </w:pPr>
      <w:r>
        <w:t>Younger students in level 4 and higher qualifications</w:t>
      </w:r>
    </w:p>
    <w:p w:rsidR="00EA1211" w:rsidRDefault="00EA1211" w:rsidP="009E1CAD">
      <w:pPr>
        <w:pStyle w:val="BodyText"/>
      </w:pPr>
      <w:r>
        <w:t xml:space="preserve">The proportion of domestic students </w:t>
      </w:r>
      <w:r w:rsidR="00545DC9">
        <w:t xml:space="preserve">aged 18 to 24 years </w:t>
      </w:r>
      <w:r w:rsidR="00552F00">
        <w:t xml:space="preserve">enrolled in </w:t>
      </w:r>
      <w:r>
        <w:t xml:space="preserve">level 4 and </w:t>
      </w:r>
      <w:r w:rsidR="00552F00">
        <w:t xml:space="preserve">higher qualifications </w:t>
      </w:r>
      <w:r w:rsidR="00D770FC">
        <w:t>stabilised from 2012 to</w:t>
      </w:r>
      <w:r>
        <w:t xml:space="preserve"> </w:t>
      </w:r>
      <w:r w:rsidR="00D605CB">
        <w:t>2013</w:t>
      </w:r>
      <w:r w:rsidR="00545DC9">
        <w:t xml:space="preserve">. Eighty-five </w:t>
      </w:r>
      <w:r>
        <w:t xml:space="preserve">percent of this group were enrolled in level 4 and higher qualifications in </w:t>
      </w:r>
      <w:r w:rsidR="00D605CB">
        <w:t>2013</w:t>
      </w:r>
      <w:r w:rsidR="00D770FC">
        <w:t xml:space="preserve"> and</w:t>
      </w:r>
      <w:r w:rsidR="004A32E7">
        <w:t xml:space="preserve"> in </w:t>
      </w:r>
      <w:r w:rsidR="00D605CB">
        <w:t>2012</w:t>
      </w:r>
      <w:r w:rsidR="004A32E7">
        <w:t>. T</w:t>
      </w:r>
      <w:r w:rsidR="00F11DE3">
        <w:t>he comparable proportion in 2005</w:t>
      </w:r>
      <w:r w:rsidR="004A32E7">
        <w:t xml:space="preserve"> was</w:t>
      </w:r>
      <w:r w:rsidR="00D770FC">
        <w:t xml:space="preserve"> 80</w:t>
      </w:r>
      <w:r>
        <w:t xml:space="preserve"> percent</w:t>
      </w:r>
      <w:r w:rsidR="00D770FC">
        <w:t>.</w:t>
      </w:r>
    </w:p>
    <w:p w:rsidR="00EA1211" w:rsidRDefault="001371DC" w:rsidP="009E1CAD">
      <w:pPr>
        <w:pStyle w:val="Heading4"/>
      </w:pPr>
      <w:r>
        <w:t xml:space="preserve">Students aged 25 years and over in </w:t>
      </w:r>
      <w:r w:rsidR="000D4659">
        <w:t>level 4 and higher</w:t>
      </w:r>
      <w:r>
        <w:t xml:space="preserve"> qualifications</w:t>
      </w:r>
    </w:p>
    <w:p w:rsidR="00A257E0" w:rsidRDefault="00A412D7" w:rsidP="009E1CAD">
      <w:pPr>
        <w:pStyle w:val="BodyText"/>
      </w:pPr>
      <w:r>
        <w:t>T</w:t>
      </w:r>
      <w:r w:rsidR="001371DC">
        <w:t>he proportion of domestic students ag</w:t>
      </w:r>
      <w:r w:rsidR="00552F00">
        <w:t>ed 25 years and over enrolled in</w:t>
      </w:r>
      <w:r w:rsidR="001371DC">
        <w:t xml:space="preserve"> level 4 and higher </w:t>
      </w:r>
      <w:r w:rsidR="00552F00">
        <w:t xml:space="preserve">qualifications </w:t>
      </w:r>
      <w:r w:rsidR="00CE54C7">
        <w:t xml:space="preserve">has </w:t>
      </w:r>
      <w:r>
        <w:t xml:space="preserve">remained </w:t>
      </w:r>
      <w:r w:rsidR="00A257E0">
        <w:t>similar since 2011.  However, in terms of equivalent full-time student units, the proportion studying at level 4 and above decreased from 2012 to 2013.</w:t>
      </w:r>
    </w:p>
    <w:p w:rsidR="001371DC" w:rsidRPr="001371DC" w:rsidRDefault="00A257E0" w:rsidP="009E1CAD">
      <w:pPr>
        <w:pStyle w:val="BodyText"/>
      </w:pPr>
      <w:r>
        <w:t>There were substantial falls in the number of enrolments in level 5 to 7 diplomas and bachelors and higher qualifications by this group from 2012 to 2013, w</w:t>
      </w:r>
      <w:r w:rsidR="00CE54C7">
        <w:t xml:space="preserve">hile there </w:t>
      </w:r>
      <w:r>
        <w:t xml:space="preserve">also </w:t>
      </w:r>
      <w:r w:rsidR="00CE54C7">
        <w:t>was</w:t>
      </w:r>
      <w:r w:rsidR="00127344">
        <w:t xml:space="preserve"> </w:t>
      </w:r>
      <w:r w:rsidR="00F11DE3">
        <w:t>another substantial</w:t>
      </w:r>
      <w:r w:rsidR="00127344">
        <w:t xml:space="preserve"> drop in</w:t>
      </w:r>
      <w:r w:rsidR="00A412D7">
        <w:t xml:space="preserve"> </w:t>
      </w:r>
      <w:r w:rsidR="00F11DE3">
        <w:t>lower-level certificate enrolments</w:t>
      </w:r>
      <w:r>
        <w:t xml:space="preserve">.  </w:t>
      </w:r>
      <w:r w:rsidR="00CE54C7">
        <w:t>The fall in bachelors-level study was the main contributor to the decrease</w:t>
      </w:r>
      <w:r>
        <w:t xml:space="preserve"> </w:t>
      </w:r>
      <w:r w:rsidR="00CE54C7">
        <w:t>in study at level 4 and above</w:t>
      </w:r>
      <w:r w:rsidR="000432A9">
        <w:t>,</w:t>
      </w:r>
      <w:r w:rsidR="00CE54C7">
        <w:t xml:space="preserve"> </w:t>
      </w:r>
      <w:r w:rsidR="000432A9">
        <w:t xml:space="preserve">from 2012 to 2013, </w:t>
      </w:r>
      <w:r w:rsidR="00CE54C7">
        <w:t xml:space="preserve">by students aged 25 years and over. </w:t>
      </w:r>
      <w:r w:rsidR="00F11DE3">
        <w:t xml:space="preserve"> </w:t>
      </w:r>
      <w:r w:rsidR="000432A9">
        <w:t>In terms of equivalent full-time student units, t</w:t>
      </w:r>
      <w:r w:rsidR="00F05232">
        <w:t xml:space="preserve">he </w:t>
      </w:r>
      <w:r w:rsidR="005F431D">
        <w:t xml:space="preserve">proportion </w:t>
      </w:r>
      <w:r w:rsidR="00F11DE3">
        <w:t>in</w:t>
      </w:r>
      <w:r w:rsidR="005F431D">
        <w:t xml:space="preserve"> level 4 and </w:t>
      </w:r>
      <w:r w:rsidR="00F11DE3">
        <w:t>higher qualifications</w:t>
      </w:r>
      <w:r>
        <w:t xml:space="preserve"> was 74 percent in </w:t>
      </w:r>
      <w:r w:rsidR="00D605CB">
        <w:t>2012</w:t>
      </w:r>
      <w:r>
        <w:t>, compared to 73 percent</w:t>
      </w:r>
      <w:r w:rsidR="005F431D">
        <w:t xml:space="preserve"> </w:t>
      </w:r>
      <w:r w:rsidR="00D605CB">
        <w:t>2013</w:t>
      </w:r>
      <w:r w:rsidR="000E4534">
        <w:t xml:space="preserve">. </w:t>
      </w:r>
      <w:r w:rsidR="00F05232">
        <w:t>In 2005, t</w:t>
      </w:r>
      <w:r w:rsidR="00A23C14">
        <w:t xml:space="preserve">he proportion </w:t>
      </w:r>
      <w:r w:rsidR="001371DC">
        <w:t>was 59 percent.</w:t>
      </w:r>
    </w:p>
    <w:p w:rsidR="00BE4628" w:rsidRDefault="00BE4628">
      <w:pPr>
        <w:rPr>
          <w:rFonts w:ascii="Arial" w:hAnsi="Arial"/>
          <w:caps/>
          <w:sz w:val="32"/>
        </w:rPr>
      </w:pPr>
      <w:bookmarkStart w:id="38" w:name="_Toc383697359"/>
      <w:r>
        <w:br w:type="page"/>
      </w:r>
    </w:p>
    <w:p w:rsidR="001279CC" w:rsidRDefault="00582155" w:rsidP="00A2789C">
      <w:pPr>
        <w:pStyle w:val="Heading1"/>
        <w:spacing w:before="360"/>
      </w:pPr>
      <w:r>
        <w:lastRenderedPageBreak/>
        <w:t>Equivalent full-time student units</w:t>
      </w:r>
      <w:bookmarkEnd w:id="38"/>
    </w:p>
    <w:p w:rsidR="00582155" w:rsidRDefault="005A7070" w:rsidP="00582155">
      <w:pPr>
        <w:pStyle w:val="BodyText"/>
      </w:pPr>
      <w:r>
        <w:t>F</w:t>
      </w:r>
      <w:r w:rsidR="00666E93">
        <w:t xml:space="preserve">ormal tertiary education enrolments </w:t>
      </w:r>
      <w:r w:rsidR="00390648">
        <w:t>remained stable</w:t>
      </w:r>
      <w:r>
        <w:t xml:space="preserve"> from </w:t>
      </w:r>
      <w:r w:rsidR="00D605CB">
        <w:t>2012</w:t>
      </w:r>
      <w:r>
        <w:t xml:space="preserve"> to </w:t>
      </w:r>
      <w:r w:rsidR="00D605CB">
        <w:t>2013</w:t>
      </w:r>
      <w:r w:rsidR="00390648">
        <w:t xml:space="preserve"> in </w:t>
      </w:r>
      <w:r w:rsidR="00666E93">
        <w:t>terms of equivalent full-time student units</w:t>
      </w:r>
      <w:r w:rsidR="00390648">
        <w:t xml:space="preserve">, while the student </w:t>
      </w:r>
      <w:r w:rsidR="002E3CEC">
        <w:t>headc</w:t>
      </w:r>
      <w:r w:rsidR="00390648">
        <w:t xml:space="preserve">ount decreased. </w:t>
      </w:r>
      <w:r w:rsidR="004775FC">
        <w:t xml:space="preserve">In </w:t>
      </w:r>
      <w:r w:rsidR="00D605CB">
        <w:t>2013</w:t>
      </w:r>
      <w:r w:rsidR="004775FC">
        <w:t>, the total study load was</w:t>
      </w:r>
      <w:r w:rsidR="00A145BD">
        <w:t xml:space="preserve"> 278</w:t>
      </w:r>
      <w:r w:rsidR="00B61141">
        <w:t>,158</w:t>
      </w:r>
      <w:r w:rsidR="00CF2D42">
        <w:t xml:space="preserve"> </w:t>
      </w:r>
      <w:r w:rsidR="004775FC">
        <w:t>equivalent full-time student units</w:t>
      </w:r>
      <w:r w:rsidR="00B61141">
        <w:t>, compared to 278,635 in 2012</w:t>
      </w:r>
      <w:r w:rsidR="00CF2D42">
        <w:t xml:space="preserve"> (see </w:t>
      </w:r>
      <w:r w:rsidR="005B67D2">
        <w:fldChar w:fldCharType="begin"/>
      </w:r>
      <w:r w:rsidR="00344FAA">
        <w:instrText xml:space="preserve"> REF _Ref321901461 \h </w:instrText>
      </w:r>
      <w:r w:rsidR="005B67D2">
        <w:fldChar w:fldCharType="separate"/>
      </w:r>
      <w:r w:rsidR="00375A85">
        <w:t xml:space="preserve">Figure </w:t>
      </w:r>
      <w:r w:rsidR="00375A85">
        <w:rPr>
          <w:noProof/>
        </w:rPr>
        <w:t>5</w:t>
      </w:r>
      <w:r w:rsidR="00375A85">
        <w:t>.</w:t>
      </w:r>
      <w:r w:rsidR="00375A85">
        <w:rPr>
          <w:noProof/>
        </w:rPr>
        <w:t>1</w:t>
      </w:r>
      <w:r w:rsidR="005B67D2">
        <w:fldChar w:fldCharType="end"/>
      </w:r>
      <w:r w:rsidR="00666E93">
        <w:t>).</w:t>
      </w:r>
    </w:p>
    <w:p w:rsidR="00666E93" w:rsidRDefault="00767FF4" w:rsidP="00666E93">
      <w:pPr>
        <w:pStyle w:val="BodyText"/>
      </w:pPr>
      <w:r>
        <w:t xml:space="preserve">Following large increases in the number of equivalent full-time student units in 2009 and 2010 due to a population bulge of 18 to 21 year-olds moving from school to tertiary education, </w:t>
      </w:r>
      <w:r w:rsidR="002D654C">
        <w:t xml:space="preserve">the number of </w:t>
      </w:r>
      <w:r w:rsidR="00390648">
        <w:t xml:space="preserve">equivalent full-time student units declined </w:t>
      </w:r>
      <w:r>
        <w:t xml:space="preserve">from 2010 to 2011 </w:t>
      </w:r>
      <w:r w:rsidR="00390648">
        <w:t>b</w:t>
      </w:r>
      <w:r w:rsidR="00A145BD">
        <w:t>y 2.5</w:t>
      </w:r>
      <w:r w:rsidR="002D654C">
        <w:t xml:space="preserve"> percent</w:t>
      </w:r>
      <w:r w:rsidR="000E68DD">
        <w:t>.</w:t>
      </w:r>
      <w:r w:rsidR="000D4659">
        <w:t xml:space="preserve"> </w:t>
      </w:r>
      <w:r w:rsidR="002C6392">
        <w:t>W</w:t>
      </w:r>
      <w:r w:rsidR="008A3B72">
        <w:t xml:space="preserve">eak employment conditions </w:t>
      </w:r>
      <w:r w:rsidR="00A22A14">
        <w:t>led to upward</w:t>
      </w:r>
      <w:r w:rsidR="008A3B72">
        <w:t xml:space="preserve"> pressure on domestic enrolments </w:t>
      </w:r>
      <w:r w:rsidR="002C6392">
        <w:t xml:space="preserve">in 2009 and 2010 </w:t>
      </w:r>
      <w:r w:rsidR="008A3B72">
        <w:t>and the</w:t>
      </w:r>
      <w:r w:rsidR="00A22A14">
        <w:t xml:space="preserve"> decrease from 2010 to 2011</w:t>
      </w:r>
      <w:r w:rsidR="008A3B72">
        <w:t xml:space="preserve"> </w:t>
      </w:r>
      <w:r w:rsidR="00A22A14">
        <w:t xml:space="preserve">was </w:t>
      </w:r>
      <w:r w:rsidR="008A3B72">
        <w:t>exacerbated</w:t>
      </w:r>
      <w:r w:rsidR="00A22A14">
        <w:t xml:space="preserve"> by the Christchurch earthquake</w:t>
      </w:r>
      <w:r w:rsidR="008A3B72">
        <w:t xml:space="preserve">. </w:t>
      </w:r>
      <w:r w:rsidR="00B61141">
        <w:t>Also, o</w:t>
      </w:r>
      <w:r w:rsidR="00C356A2">
        <w:t>ver the years</w:t>
      </w:r>
      <w:r w:rsidR="000E68DD">
        <w:t xml:space="preserve"> f</w:t>
      </w:r>
      <w:r w:rsidR="00666E93">
        <w:t>rom 2004 to 2008, the number of equivalent full-time student units declin</w:t>
      </w:r>
      <w:r w:rsidR="002D654C">
        <w:t>ed from a high point of 284,000 due to a downward trend in international student numbers and decreased domestic enrolments in lower-level certificates.</w:t>
      </w:r>
    </w:p>
    <w:p w:rsidR="00CF2D42" w:rsidRDefault="00CF2D42" w:rsidP="00CF2D42">
      <w:pPr>
        <w:pStyle w:val="Caption"/>
      </w:pPr>
      <w:bookmarkStart w:id="39" w:name="_Ref321901461"/>
      <w:proofErr w:type="gramStart"/>
      <w:r>
        <w:t xml:space="preserve">Figure </w:t>
      </w:r>
      <w:r w:rsidR="005B67D2">
        <w:fldChar w:fldCharType="begin"/>
      </w:r>
      <w:r w:rsidR="00B5211F">
        <w:instrText xml:space="preserve"> STYLEREF 1 \s </w:instrText>
      </w:r>
      <w:r w:rsidR="005B67D2">
        <w:fldChar w:fldCharType="separate"/>
      </w:r>
      <w:r w:rsidR="00375A85">
        <w:rPr>
          <w:noProof/>
        </w:rPr>
        <w:t>5</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1</w:t>
      </w:r>
      <w:r w:rsidR="005B67D2">
        <w:fldChar w:fldCharType="end"/>
      </w:r>
      <w:bookmarkEnd w:id="39"/>
    </w:p>
    <w:p w:rsidR="00CF2D42" w:rsidRDefault="00CF2D42" w:rsidP="00CF2D42">
      <w:pPr>
        <w:pStyle w:val="Figurelabel"/>
      </w:pPr>
      <w:bookmarkStart w:id="40" w:name="_Toc384292898"/>
      <w:r>
        <w:t>Total number of students and equivalent full-time student units in formal tertiary education</w:t>
      </w:r>
      <w:bookmarkEnd w:id="40"/>
    </w:p>
    <w:p w:rsidR="0005139A" w:rsidRPr="0005139A" w:rsidRDefault="00AB21EC" w:rsidP="0005139A">
      <w:pPr>
        <w:pStyle w:val="BodyText"/>
      </w:pPr>
      <w:r w:rsidRPr="00AB21EC">
        <w:rPr>
          <w:noProof/>
          <w:lang w:eastAsia="en-NZ"/>
        </w:rPr>
        <w:drawing>
          <wp:inline distT="0" distB="0" distL="0" distR="0">
            <wp:extent cx="5400040" cy="3347285"/>
            <wp:effectExtent l="1905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400040" cy="3347285"/>
                    </a:xfrm>
                    <a:prstGeom prst="rect">
                      <a:avLst/>
                    </a:prstGeom>
                    <a:noFill/>
                    <a:ln w="9525">
                      <a:noFill/>
                      <a:miter lim="800000"/>
                      <a:headEnd/>
                      <a:tailEnd/>
                    </a:ln>
                  </pic:spPr>
                </pic:pic>
              </a:graphicData>
            </a:graphic>
          </wp:inline>
        </w:drawing>
      </w:r>
    </w:p>
    <w:p w:rsidR="00B61141" w:rsidRDefault="000E68DD" w:rsidP="00B61141">
      <w:pPr>
        <w:pStyle w:val="BodyText"/>
      </w:pPr>
      <w:r>
        <w:t xml:space="preserve">While </w:t>
      </w:r>
      <w:r w:rsidR="00910E96">
        <w:t xml:space="preserve">the total domestic study load fell less strongly than the number of students, the average study load per domestic student did not alter greatly from 2012 to 2013, remaining at </w:t>
      </w:r>
      <w:r w:rsidR="00B97858">
        <w:t>0.</w:t>
      </w:r>
      <w:r w:rsidR="00910E96">
        <w:t xml:space="preserve">66 </w:t>
      </w:r>
      <w:r w:rsidR="00B97858">
        <w:t>equivalent full-time student units</w:t>
      </w:r>
      <w:r w:rsidR="00910E96">
        <w:t xml:space="preserve">. </w:t>
      </w:r>
      <w:r w:rsidR="00B61141">
        <w:t xml:space="preserve"> Before the downward trend in lower-level and shorter qualifications began in 2005, the average study load of domestic students, in terms of equivalent full-time student units, was 0.54.</w:t>
      </w:r>
    </w:p>
    <w:p w:rsidR="00910E96" w:rsidRDefault="00910E96" w:rsidP="00A2789C">
      <w:pPr>
        <w:pStyle w:val="BodyText"/>
      </w:pPr>
      <w:r>
        <w:t xml:space="preserve">The average study load per international student also did not alter greatly from 2012 to 2013, remaining at 69 percent. In the case of international enrolments, the </w:t>
      </w:r>
      <w:r w:rsidR="00B61141">
        <w:t xml:space="preserve">increase in the </w:t>
      </w:r>
      <w:r>
        <w:t xml:space="preserve">total study load </w:t>
      </w:r>
      <w:r w:rsidR="00B61141">
        <w:t>was stronger</w:t>
      </w:r>
      <w:r>
        <w:t xml:space="preserve"> than the </w:t>
      </w:r>
      <w:r w:rsidR="00B61141">
        <w:t xml:space="preserve">increase in the </w:t>
      </w:r>
      <w:r>
        <w:t>number of students</w:t>
      </w:r>
      <w:r w:rsidR="00A2789C">
        <w:t xml:space="preserve"> </w:t>
      </w:r>
      <w:r>
        <w:t>(</w:t>
      </w:r>
      <w:r w:rsidR="005B67D2">
        <w:fldChar w:fldCharType="begin"/>
      </w:r>
      <w:r w:rsidR="0005139A">
        <w:instrText xml:space="preserve"> REF _Ref322343570 \h </w:instrText>
      </w:r>
      <w:r w:rsidR="005B67D2">
        <w:fldChar w:fldCharType="separate"/>
      </w:r>
      <w:r w:rsidR="00375A85">
        <w:t xml:space="preserve">Figure </w:t>
      </w:r>
      <w:r w:rsidR="00375A85">
        <w:rPr>
          <w:noProof/>
        </w:rPr>
        <w:t>5</w:t>
      </w:r>
      <w:r w:rsidR="00375A85">
        <w:t>.</w:t>
      </w:r>
      <w:r w:rsidR="00375A85">
        <w:rPr>
          <w:noProof/>
        </w:rPr>
        <w:t>2</w:t>
      </w:r>
      <w:r w:rsidR="005B67D2">
        <w:fldChar w:fldCharType="end"/>
      </w:r>
      <w:r w:rsidR="0005139A">
        <w:t>)</w:t>
      </w:r>
      <w:r w:rsidR="003D0AC4">
        <w:t>.</w:t>
      </w:r>
    </w:p>
    <w:p w:rsidR="008135D5" w:rsidRPr="00C421B4" w:rsidRDefault="00910E96" w:rsidP="009E1CAD">
      <w:pPr>
        <w:pStyle w:val="BodyText"/>
      </w:pPr>
      <w:r>
        <w:t>T</w:t>
      </w:r>
      <w:r w:rsidR="004915FF" w:rsidRPr="00C421B4">
        <w:t xml:space="preserve">he average study load </w:t>
      </w:r>
      <w:r w:rsidR="00C421B4" w:rsidRPr="00C421B4">
        <w:t>of</w:t>
      </w:r>
      <w:r w:rsidR="008135D5">
        <w:t xml:space="preserve"> both</w:t>
      </w:r>
      <w:r w:rsidR="00C421B4" w:rsidRPr="00C421B4">
        <w:t xml:space="preserve"> </w:t>
      </w:r>
      <w:r w:rsidR="008135D5">
        <w:t xml:space="preserve">degree and </w:t>
      </w:r>
      <w:r>
        <w:t>higher</w:t>
      </w:r>
      <w:r w:rsidR="008135D5">
        <w:t xml:space="preserve"> qualifications</w:t>
      </w:r>
      <w:r>
        <w:t xml:space="preserve"> and</w:t>
      </w:r>
      <w:r w:rsidR="00B61141">
        <w:t xml:space="preserve"> non-degree qualifications has</w:t>
      </w:r>
      <w:r w:rsidR="00C421B4" w:rsidRPr="00C421B4">
        <w:t xml:space="preserve"> increased over recent years. For example, the average study load </w:t>
      </w:r>
      <w:r w:rsidR="00F91836">
        <w:t xml:space="preserve">of domestic student increased </w:t>
      </w:r>
      <w:r w:rsidR="00C421B4" w:rsidRPr="00C421B4">
        <w:t>for</w:t>
      </w:r>
      <w:r w:rsidR="004915FF" w:rsidRPr="00C421B4">
        <w:t xml:space="preserve"> </w:t>
      </w:r>
      <w:r w:rsidR="00F91836">
        <w:t>level 3</w:t>
      </w:r>
      <w:r w:rsidR="00D06456" w:rsidRPr="00C421B4">
        <w:t xml:space="preserve"> certificates </w:t>
      </w:r>
      <w:r w:rsidR="00F91836">
        <w:t>from</w:t>
      </w:r>
      <w:r w:rsidR="00767FF4">
        <w:t xml:space="preserve"> 0.34</w:t>
      </w:r>
      <w:r w:rsidR="00F91836">
        <w:t xml:space="preserve"> equivalent full-time student units </w:t>
      </w:r>
      <w:r w:rsidR="00B97569">
        <w:t xml:space="preserve">in </w:t>
      </w:r>
      <w:r w:rsidR="005F424C">
        <w:t>2005</w:t>
      </w:r>
      <w:r w:rsidR="00C421B4" w:rsidRPr="00C421B4">
        <w:t xml:space="preserve"> to </w:t>
      </w:r>
      <w:r w:rsidR="00B97569">
        <w:t xml:space="preserve">0.48 </w:t>
      </w:r>
      <w:r w:rsidR="008C7D35">
        <w:t xml:space="preserve">in </w:t>
      </w:r>
      <w:r w:rsidR="00D605CB">
        <w:t>2013</w:t>
      </w:r>
      <w:r w:rsidR="008135D5">
        <w:t>.</w:t>
      </w:r>
      <w:r w:rsidR="00C421B4" w:rsidRPr="00C421B4">
        <w:t xml:space="preserve"> </w:t>
      </w:r>
      <w:r w:rsidR="00F91836">
        <w:t xml:space="preserve">Similarly, the average study load of domestic students in </w:t>
      </w:r>
      <w:r w:rsidR="00C421B4" w:rsidRPr="00C421B4">
        <w:t>level 5 to 7 diplomas</w:t>
      </w:r>
      <w:r w:rsidR="00F91836">
        <w:t xml:space="preserve"> increased</w:t>
      </w:r>
      <w:r w:rsidR="00B97569" w:rsidRPr="00C421B4">
        <w:t xml:space="preserve"> from </w:t>
      </w:r>
      <w:r w:rsidR="005F424C">
        <w:t>0.49</w:t>
      </w:r>
      <w:r w:rsidR="00B97569">
        <w:t xml:space="preserve"> </w:t>
      </w:r>
      <w:r w:rsidR="00F91836">
        <w:t xml:space="preserve">equivalent full-time student units </w:t>
      </w:r>
      <w:r w:rsidR="00B97569">
        <w:t xml:space="preserve">in </w:t>
      </w:r>
      <w:r w:rsidR="005F424C">
        <w:t>2005</w:t>
      </w:r>
      <w:r w:rsidR="00B97569" w:rsidRPr="00C421B4">
        <w:t xml:space="preserve"> to </w:t>
      </w:r>
      <w:r w:rsidR="00D014FF">
        <w:t>0.5</w:t>
      </w:r>
      <w:r w:rsidR="00B97569">
        <w:t xml:space="preserve">1 </w:t>
      </w:r>
      <w:r w:rsidR="008C7D35">
        <w:t xml:space="preserve">in </w:t>
      </w:r>
      <w:r w:rsidR="00D605CB">
        <w:t>2013</w:t>
      </w:r>
      <w:r w:rsidR="008135D5">
        <w:t>.</w:t>
      </w:r>
    </w:p>
    <w:p w:rsidR="00CE3D2B" w:rsidRDefault="002F761D" w:rsidP="009E1CAD">
      <w:pPr>
        <w:pStyle w:val="BodyText"/>
      </w:pPr>
      <w:r>
        <w:lastRenderedPageBreak/>
        <w:t>The high</w:t>
      </w:r>
      <w:r w:rsidR="00A63770">
        <w:t>er</w:t>
      </w:r>
      <w:r w:rsidR="00CE3D2B">
        <w:t xml:space="preserve"> study load</w:t>
      </w:r>
      <w:r>
        <w:t>s</w:t>
      </w:r>
      <w:r w:rsidR="00CE3D2B">
        <w:t xml:space="preserve"> of international students (see </w:t>
      </w:r>
      <w:r w:rsidR="005B67D2">
        <w:fldChar w:fldCharType="begin"/>
      </w:r>
      <w:r w:rsidR="00CE3D2B">
        <w:instrText xml:space="preserve"> REF _Ref322343570 \h </w:instrText>
      </w:r>
      <w:r w:rsidR="005B67D2">
        <w:fldChar w:fldCharType="separate"/>
      </w:r>
      <w:r w:rsidR="00375A85">
        <w:t xml:space="preserve">Figure </w:t>
      </w:r>
      <w:r w:rsidR="00375A85">
        <w:rPr>
          <w:noProof/>
        </w:rPr>
        <w:t>5</w:t>
      </w:r>
      <w:r w:rsidR="00375A85">
        <w:t>.</w:t>
      </w:r>
      <w:r w:rsidR="00375A85">
        <w:rPr>
          <w:noProof/>
        </w:rPr>
        <w:t>2</w:t>
      </w:r>
      <w:r w:rsidR="005B67D2">
        <w:fldChar w:fldCharType="end"/>
      </w:r>
      <w:r w:rsidR="00CE3D2B">
        <w:t xml:space="preserve">) over the years from </w:t>
      </w:r>
      <w:r w:rsidR="00D605CB">
        <w:t>2003</w:t>
      </w:r>
      <w:r w:rsidR="00CE3D2B">
        <w:t xml:space="preserve"> to 2006 were due to high</w:t>
      </w:r>
      <w:r w:rsidR="00A63770">
        <w:t>er</w:t>
      </w:r>
      <w:r w:rsidR="00CE3D2B">
        <w:t xml:space="preserve"> study loads for level 3 and 4 certificates and level 5 to 7 diplomas, as well </w:t>
      </w:r>
      <w:r w:rsidR="000E4534">
        <w:t xml:space="preserve">as </w:t>
      </w:r>
      <w:r w:rsidR="00CE3D2B">
        <w:t>high</w:t>
      </w:r>
      <w:r w:rsidR="00A63770">
        <w:t>er</w:t>
      </w:r>
      <w:r w:rsidR="00CE3D2B">
        <w:t xml:space="preserve"> study load</w:t>
      </w:r>
      <w:r>
        <w:t>s for</w:t>
      </w:r>
      <w:r w:rsidR="00CE3D2B">
        <w:t xml:space="preserve"> degree and higher qualifications</w:t>
      </w:r>
      <w:r>
        <w:t>.</w:t>
      </w:r>
      <w:r w:rsidR="00D06456">
        <w:t xml:space="preserve"> </w:t>
      </w:r>
      <w:r w:rsidR="004E7CA7">
        <w:t>Most international students come to New Zealand to study on a full-time basis.</w:t>
      </w:r>
    </w:p>
    <w:p w:rsidR="00CF2D42" w:rsidRDefault="003D0AC4" w:rsidP="003D0AC4">
      <w:pPr>
        <w:pStyle w:val="Caption"/>
      </w:pPr>
      <w:bookmarkStart w:id="41" w:name="_Ref322343570"/>
      <w:proofErr w:type="gramStart"/>
      <w:r>
        <w:t xml:space="preserve">Figure </w:t>
      </w:r>
      <w:r w:rsidR="005B67D2">
        <w:fldChar w:fldCharType="begin"/>
      </w:r>
      <w:r w:rsidR="00B5211F">
        <w:instrText xml:space="preserve"> STYLEREF 1 \s </w:instrText>
      </w:r>
      <w:r w:rsidR="005B67D2">
        <w:fldChar w:fldCharType="separate"/>
      </w:r>
      <w:r w:rsidR="00375A85">
        <w:rPr>
          <w:noProof/>
        </w:rPr>
        <w:t>5</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2</w:t>
      </w:r>
      <w:r w:rsidR="005B67D2">
        <w:fldChar w:fldCharType="end"/>
      </w:r>
      <w:bookmarkEnd w:id="41"/>
    </w:p>
    <w:p w:rsidR="003D0AC4" w:rsidRDefault="003D0AC4" w:rsidP="003D0AC4">
      <w:pPr>
        <w:pStyle w:val="Figurelabel"/>
      </w:pPr>
      <w:bookmarkStart w:id="42" w:name="_Toc384292899"/>
      <w:r>
        <w:t>Average study load of domestic and international students in formal tertiary education</w:t>
      </w:r>
      <w:bookmarkEnd w:id="42"/>
    </w:p>
    <w:p w:rsidR="0005139A" w:rsidRPr="0005139A" w:rsidRDefault="00AB21EC" w:rsidP="0005139A">
      <w:pPr>
        <w:pStyle w:val="BodyText"/>
      </w:pPr>
      <w:r w:rsidRPr="00AB21EC">
        <w:rPr>
          <w:noProof/>
          <w:lang w:eastAsia="en-NZ"/>
        </w:rPr>
        <w:drawing>
          <wp:inline distT="0" distB="0" distL="0" distR="0">
            <wp:extent cx="5400040" cy="3312396"/>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400040" cy="3312396"/>
                    </a:xfrm>
                    <a:prstGeom prst="rect">
                      <a:avLst/>
                    </a:prstGeom>
                    <a:noFill/>
                    <a:ln w="9525">
                      <a:noFill/>
                      <a:miter lim="800000"/>
                      <a:headEnd/>
                      <a:tailEnd/>
                    </a:ln>
                  </pic:spPr>
                </pic:pic>
              </a:graphicData>
            </a:graphic>
          </wp:inline>
        </w:drawing>
      </w:r>
    </w:p>
    <w:p w:rsidR="00582155" w:rsidRDefault="00582155" w:rsidP="00D570FD">
      <w:pPr>
        <w:pStyle w:val="Heading1"/>
        <w:spacing w:before="720"/>
      </w:pPr>
      <w:bookmarkStart w:id="43" w:name="_Toc383697360"/>
      <w:r>
        <w:t>Enrolments by provider type</w:t>
      </w:r>
      <w:bookmarkEnd w:id="43"/>
    </w:p>
    <w:p w:rsidR="00582155" w:rsidRDefault="005F424C" w:rsidP="00200DFD">
      <w:pPr>
        <w:pStyle w:val="BodyText"/>
      </w:pPr>
      <w:r>
        <w:t>The number of students (including international students) decreased a</w:t>
      </w:r>
      <w:r w:rsidR="00BC0F45">
        <w:t xml:space="preserve">t public tertiary education institutions </w:t>
      </w:r>
      <w:r>
        <w:t xml:space="preserve">from </w:t>
      </w:r>
      <w:r w:rsidR="00FB1CD6">
        <w:t xml:space="preserve">358,000 in </w:t>
      </w:r>
      <w:r>
        <w:t xml:space="preserve">2012 to </w:t>
      </w:r>
      <w:r w:rsidR="00FB1CD6">
        <w:t xml:space="preserve">349,000 </w:t>
      </w:r>
      <w:r w:rsidR="00B61141">
        <w:t xml:space="preserve">in </w:t>
      </w:r>
      <w:r>
        <w:t>2013</w:t>
      </w:r>
      <w:r w:rsidR="00FB1CD6">
        <w:t xml:space="preserve"> (down by 2.5 percent). At private training establishments, the number of students (including international students)</w:t>
      </w:r>
      <w:r>
        <w:t xml:space="preserve"> increased </w:t>
      </w:r>
      <w:r w:rsidR="00FB1CD6">
        <w:t>from 69,100 in 2012 to 75,100 in 2013 (up by 8.6 percent).</w:t>
      </w:r>
    </w:p>
    <w:p w:rsidR="00FB1CD6" w:rsidRDefault="00FB1CD6" w:rsidP="00200DFD">
      <w:pPr>
        <w:pStyle w:val="BodyText"/>
      </w:pPr>
      <w:r>
        <w:t xml:space="preserve">In terms of equivalent full-time student units, enrolments decreased less strongly at public tertiary education institutions (down by 2.0 percent).  At private training establishments the increase </w:t>
      </w:r>
      <w:r w:rsidR="00A37106">
        <w:t xml:space="preserve">from 2012 to 2013 </w:t>
      </w:r>
      <w:r>
        <w:t>was strong</w:t>
      </w:r>
      <w:r w:rsidR="00A37106">
        <w:t>er</w:t>
      </w:r>
      <w:r>
        <w:t xml:space="preserve"> when the enrolments were converted to equivalent full-time student units (up by 11 percent).</w:t>
      </w:r>
    </w:p>
    <w:p w:rsidR="00A37106" w:rsidRDefault="00FB1CD6" w:rsidP="00200DFD">
      <w:pPr>
        <w:pStyle w:val="BodyText"/>
      </w:pPr>
      <w:r>
        <w:t>T</w:t>
      </w:r>
      <w:r w:rsidR="00045E0D">
        <w:t>he</w:t>
      </w:r>
      <w:r>
        <w:t xml:space="preserve"> </w:t>
      </w:r>
      <w:r w:rsidR="00A37106">
        <w:t xml:space="preserve">latest </w:t>
      </w:r>
      <w:r w:rsidR="00045E0D">
        <w:t xml:space="preserve">decrease </w:t>
      </w:r>
      <w:r w:rsidR="0010671E">
        <w:t>in enrolments</w:t>
      </w:r>
      <w:r w:rsidR="00A37106">
        <w:t xml:space="preserve"> at public tertiary education institutions </w:t>
      </w:r>
      <w:r w:rsidR="00767FF4">
        <w:t>was greatest</w:t>
      </w:r>
      <w:r w:rsidR="005F424C">
        <w:t xml:space="preserve"> </w:t>
      </w:r>
      <w:r w:rsidR="00897AD3">
        <w:t xml:space="preserve">in </w:t>
      </w:r>
      <w:r w:rsidR="00631710">
        <w:t>th</w:t>
      </w:r>
      <w:r>
        <w:t xml:space="preserve">e polytechnic sector. </w:t>
      </w:r>
      <w:r w:rsidR="00A37106">
        <w:t>From 2012 to 2013, enrolments</w:t>
      </w:r>
      <w:r>
        <w:t xml:space="preserve"> at polytech</w:t>
      </w:r>
      <w:r w:rsidR="00A37106">
        <w:t>nics decreased by 5.0 percent to 144,000.  When converted to equivalent full-time students units, the decrease was smaller at poly</w:t>
      </w:r>
      <w:r w:rsidR="00B97858">
        <w:t>technics (down by 4.2 percent).</w:t>
      </w:r>
    </w:p>
    <w:p w:rsidR="00D570FD" w:rsidRDefault="00D570FD">
      <w:pPr>
        <w:rPr>
          <w:szCs w:val="20"/>
        </w:rPr>
      </w:pPr>
      <w:r>
        <w:br w:type="page"/>
      </w:r>
    </w:p>
    <w:p w:rsidR="00A37106" w:rsidRDefault="00A37106" w:rsidP="00200DFD">
      <w:pPr>
        <w:pStyle w:val="BodyText"/>
      </w:pPr>
      <w:r>
        <w:lastRenderedPageBreak/>
        <w:t>A</w:t>
      </w:r>
      <w:r w:rsidR="00FB1CD6">
        <w:t>t universities</w:t>
      </w:r>
      <w:r>
        <w:t xml:space="preserve">, enrolments decreased </w:t>
      </w:r>
      <w:r w:rsidR="00FB1CD6">
        <w:t>by 1.2 percent</w:t>
      </w:r>
      <w:r>
        <w:t xml:space="preserve"> from 2012 to 2013</w:t>
      </w:r>
      <w:r w:rsidR="00FB1CD6">
        <w:t xml:space="preserve"> to 173,000</w:t>
      </w:r>
      <w:r>
        <w:t>. The comparable decrease in equivalent full-time student units was 1.3 percent. A</w:t>
      </w:r>
      <w:r w:rsidR="00FB1CD6">
        <w:t xml:space="preserve">t </w:t>
      </w:r>
      <w:proofErr w:type="spellStart"/>
      <w:r w:rsidR="00FB1CD6">
        <w:t>wānanga</w:t>
      </w:r>
      <w:proofErr w:type="spellEnd"/>
      <w:r>
        <w:t>, the number of enrolments decreased</w:t>
      </w:r>
      <w:r w:rsidR="00FB1CD6">
        <w:t xml:space="preserve"> by 0.4 percent to 39,000</w:t>
      </w:r>
      <w:r>
        <w:t xml:space="preserve">. When converted to equivalent full-time students, enrolments increased at </w:t>
      </w:r>
      <w:proofErr w:type="spellStart"/>
      <w:r>
        <w:t>wānanga</w:t>
      </w:r>
      <w:proofErr w:type="spellEnd"/>
      <w:r>
        <w:t xml:space="preserve"> by 1.3 percent.</w:t>
      </w:r>
    </w:p>
    <w:p w:rsidR="00897AD3" w:rsidRDefault="006F0E7D" w:rsidP="00D37623">
      <w:pPr>
        <w:pStyle w:val="BodyText"/>
        <w:spacing w:after="120"/>
      </w:pPr>
      <w:r>
        <w:t xml:space="preserve">The increase in the number of students at private training establishments was due to a number of </w:t>
      </w:r>
      <w:r w:rsidR="00200DFD">
        <w:t>factors.  There was an increase</w:t>
      </w:r>
      <w:r>
        <w:t xml:space="preserve"> in the number of Youth Guarantee fees-free places </w:t>
      </w:r>
      <w:r w:rsidR="00200DFD">
        <w:t xml:space="preserve">in 2013 </w:t>
      </w:r>
      <w:r>
        <w:t>and this led to more private training establishments supplying information to the Ministry of Education on their total enrolments in 2013.</w:t>
      </w:r>
      <w:r>
        <w:rPr>
          <w:rStyle w:val="FootnoteReference"/>
        </w:rPr>
        <w:footnoteReference w:id="10"/>
      </w:r>
      <w:r>
        <w:t xml:space="preserve"> Additionally, a number of private training establishments also began delivery of level 1 and 2 qualifications in 2013 as a result of the recently introduced competitive funding process for these qualifications.</w:t>
      </w:r>
    </w:p>
    <w:p w:rsidR="00C001C7" w:rsidRDefault="00C001C7" w:rsidP="00C001C7">
      <w:pPr>
        <w:pStyle w:val="Caption"/>
      </w:pPr>
      <w:proofErr w:type="gramStart"/>
      <w:r>
        <w:t xml:space="preserve">Figure </w:t>
      </w:r>
      <w:r w:rsidR="005B67D2">
        <w:fldChar w:fldCharType="begin"/>
      </w:r>
      <w:r w:rsidR="00B5211F">
        <w:instrText xml:space="preserve"> STYLEREF 1 \s </w:instrText>
      </w:r>
      <w:r w:rsidR="005B67D2">
        <w:fldChar w:fldCharType="separate"/>
      </w:r>
      <w:r w:rsidR="00375A85">
        <w:rPr>
          <w:noProof/>
        </w:rPr>
        <w:t>6</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1</w:t>
      </w:r>
      <w:r w:rsidR="005B67D2">
        <w:fldChar w:fldCharType="end"/>
      </w:r>
    </w:p>
    <w:p w:rsidR="00C001C7" w:rsidRDefault="00C001C7" w:rsidP="00D37623">
      <w:pPr>
        <w:pStyle w:val="Figurelabel"/>
        <w:spacing w:after="0"/>
      </w:pPr>
      <w:bookmarkStart w:id="44" w:name="_Toc384292900"/>
      <w:r>
        <w:t>Equival</w:t>
      </w:r>
      <w:r w:rsidR="00E21FBD">
        <w:t>ent full-time students units in</w:t>
      </w:r>
      <w:r>
        <w:t xml:space="preserve"> formal study by provider type and qualification </w:t>
      </w:r>
      <w:r w:rsidR="00956AE5">
        <w:t>level</w:t>
      </w:r>
      <w:bookmarkEnd w:id="44"/>
    </w:p>
    <w:p w:rsidR="00C001C7" w:rsidRDefault="00294CB1" w:rsidP="00C001C7">
      <w:pPr>
        <w:pStyle w:val="BodyText"/>
      </w:pPr>
      <w:r w:rsidRPr="00294CB1">
        <w:rPr>
          <w:noProof/>
          <w:lang w:eastAsia="en-NZ"/>
        </w:rPr>
        <w:drawing>
          <wp:inline distT="0" distB="0" distL="0" distR="0">
            <wp:extent cx="5400040" cy="3342882"/>
            <wp:effectExtent l="19050" t="0" r="0"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5400040" cy="3342882"/>
                    </a:xfrm>
                    <a:prstGeom prst="rect">
                      <a:avLst/>
                    </a:prstGeom>
                    <a:noFill/>
                    <a:ln w="9525">
                      <a:noFill/>
                      <a:miter lim="800000"/>
                      <a:headEnd/>
                      <a:tailEnd/>
                    </a:ln>
                  </pic:spPr>
                </pic:pic>
              </a:graphicData>
            </a:graphic>
          </wp:inline>
        </w:drawing>
      </w:r>
    </w:p>
    <w:p w:rsidR="00D37623" w:rsidRDefault="00B14BCF" w:rsidP="00D37623">
      <w:pPr>
        <w:pStyle w:val="BodyText"/>
      </w:pPr>
      <w:r>
        <w:t>The</w:t>
      </w:r>
      <w:r w:rsidR="00D37623">
        <w:t xml:space="preserve"> </w:t>
      </w:r>
      <w:r>
        <w:t>latest enrolments decrease did not alter</w:t>
      </w:r>
      <w:r w:rsidR="00B65434">
        <w:t xml:space="preserve"> the average study load </w:t>
      </w:r>
      <w:r w:rsidR="00D37623">
        <w:t>of domestic students</w:t>
      </w:r>
      <w:r w:rsidR="00BF79C4">
        <w:t xml:space="preserve"> at polytechnics</w:t>
      </w:r>
      <w:r w:rsidR="00D37623">
        <w:t xml:space="preserve"> </w:t>
      </w:r>
      <w:r w:rsidR="00B65434">
        <w:t>greatly</w:t>
      </w:r>
      <w:r>
        <w:t xml:space="preserve">, with the figure remaining at </w:t>
      </w:r>
      <w:r w:rsidR="00B65434">
        <w:t xml:space="preserve">0.52 equivalent full-time student units. </w:t>
      </w:r>
      <w:r>
        <w:t xml:space="preserve"> </w:t>
      </w:r>
      <w:r w:rsidR="00B65434">
        <w:t>At universities</w:t>
      </w:r>
      <w:r w:rsidR="00D37623">
        <w:t>,</w:t>
      </w:r>
      <w:r w:rsidR="00B65434">
        <w:t xml:space="preserve"> the </w:t>
      </w:r>
      <w:r>
        <w:t>comparable figure was</w:t>
      </w:r>
      <w:r w:rsidR="00D37623">
        <w:t xml:space="preserve"> 0.76 in 2012 and</w:t>
      </w:r>
      <w:r w:rsidR="00B65434">
        <w:t xml:space="preserve"> 0.77 in 2013.</w:t>
      </w:r>
      <w:r>
        <w:t xml:space="preserve"> </w:t>
      </w:r>
      <w:r w:rsidR="00D37623">
        <w:t xml:space="preserve">At </w:t>
      </w:r>
      <w:proofErr w:type="spellStart"/>
      <w:r w:rsidR="00D37623">
        <w:t>wānanga</w:t>
      </w:r>
      <w:proofErr w:type="spellEnd"/>
      <w:r w:rsidR="00D37623">
        <w:t xml:space="preserve">, the </w:t>
      </w:r>
      <w:r>
        <w:t>comparable figure was 0.63 in 2012 and 0.64</w:t>
      </w:r>
      <w:r w:rsidR="00D37623">
        <w:t xml:space="preserve"> in 2013.</w:t>
      </w:r>
    </w:p>
    <w:p w:rsidR="00BF79C4" w:rsidRDefault="00BF79C4" w:rsidP="00BF79C4">
      <w:pPr>
        <w:pStyle w:val="BodyText"/>
      </w:pPr>
      <w:r>
        <w:t xml:space="preserve">At private training establishments, the average study load per domestic student </w:t>
      </w:r>
      <w:r w:rsidR="00540389">
        <w:t xml:space="preserve">also </w:t>
      </w:r>
      <w:r>
        <w:t>increased in terms of equivalent full-time student units from 0.58 to 0.59.</w:t>
      </w:r>
    </w:p>
    <w:p w:rsidR="00B14BCF" w:rsidRDefault="00B14BCF" w:rsidP="00D37623">
      <w:pPr>
        <w:pStyle w:val="BodyText"/>
      </w:pPr>
      <w:r>
        <w:t>Before the shift to higher- and longer qualifications began in 2005, the average study load in terms of domestic equivalent full-time student units was 0.35 at polytechnics, 0.73 at unive</w:t>
      </w:r>
      <w:r w:rsidR="00BF79C4">
        <w:t>rsities,</w:t>
      </w:r>
      <w:r>
        <w:t xml:space="preserve"> 0.49 at </w:t>
      </w:r>
      <w:proofErr w:type="spellStart"/>
      <w:r>
        <w:t>wānanga</w:t>
      </w:r>
      <w:proofErr w:type="spellEnd"/>
      <w:r w:rsidR="00BF79C4">
        <w:t xml:space="preserve"> and 0.48 at private training establishments</w:t>
      </w:r>
      <w:r>
        <w:t>.</w:t>
      </w:r>
    </w:p>
    <w:p w:rsidR="00BF79C4" w:rsidRDefault="00BF79C4" w:rsidP="00D37623">
      <w:pPr>
        <w:pStyle w:val="BodyText"/>
      </w:pPr>
      <w:r>
        <w:t>Across all types of providers, the average study load of domestic students did not alter from 2012 to 2013</w:t>
      </w:r>
      <w:r w:rsidR="00750F58">
        <w:t>.  It remained</w:t>
      </w:r>
      <w:r>
        <w:t xml:space="preserve"> at 0.66 equivalent full-time student units.</w:t>
      </w:r>
    </w:p>
    <w:p w:rsidR="00582155" w:rsidRDefault="00582155" w:rsidP="00814777">
      <w:pPr>
        <w:pStyle w:val="Heading1"/>
        <w:spacing w:before="720"/>
      </w:pPr>
      <w:bookmarkStart w:id="45" w:name="_Toc383697361"/>
      <w:r>
        <w:lastRenderedPageBreak/>
        <w:t>Enrolments by gender</w:t>
      </w:r>
      <w:bookmarkEnd w:id="45"/>
    </w:p>
    <w:p w:rsidR="00766F18" w:rsidRDefault="00170E11" w:rsidP="00170E11">
      <w:pPr>
        <w:pStyle w:val="BodyText"/>
      </w:pPr>
      <w:r w:rsidRPr="006C4F44">
        <w:t>This section covers domestic students only.</w:t>
      </w:r>
      <w:r w:rsidR="00D41EBE">
        <w:t xml:space="preserve"> </w:t>
      </w:r>
      <w:r w:rsidR="004A5A54">
        <w:t xml:space="preserve">In </w:t>
      </w:r>
      <w:r w:rsidR="00D605CB">
        <w:t>2013</w:t>
      </w:r>
      <w:r w:rsidR="00753C6F">
        <w:t>, there were 213</w:t>
      </w:r>
      <w:r>
        <w:t>,</w:t>
      </w:r>
      <w:r w:rsidR="00AD12A7">
        <w:t>0</w:t>
      </w:r>
      <w:r w:rsidR="00753C6F">
        <w:t>00 women in formal study and 157</w:t>
      </w:r>
      <w:r>
        <w:t>,000 men.</w:t>
      </w:r>
      <w:r>
        <w:rPr>
          <w:rStyle w:val="FootnoteReference"/>
        </w:rPr>
        <w:footnoteReference w:id="11"/>
      </w:r>
    </w:p>
    <w:p w:rsidR="00170E11" w:rsidRDefault="005B67D2" w:rsidP="00170E11">
      <w:pPr>
        <w:pStyle w:val="BodyText"/>
      </w:pPr>
      <w:r>
        <w:fldChar w:fldCharType="begin"/>
      </w:r>
      <w:r w:rsidR="001259A6">
        <w:instrText xml:space="preserve"> REF _Ref322958554 \h </w:instrText>
      </w:r>
      <w:r>
        <w:fldChar w:fldCharType="separate"/>
      </w:r>
      <w:r w:rsidR="00375A85">
        <w:t xml:space="preserve">Figure </w:t>
      </w:r>
      <w:r w:rsidR="00375A85">
        <w:rPr>
          <w:noProof/>
        </w:rPr>
        <w:t>7</w:t>
      </w:r>
      <w:r w:rsidR="00375A85">
        <w:t>.</w:t>
      </w:r>
      <w:r w:rsidR="00375A85">
        <w:rPr>
          <w:noProof/>
        </w:rPr>
        <w:t>1</w:t>
      </w:r>
      <w:r>
        <w:fldChar w:fldCharType="end"/>
      </w:r>
      <w:r w:rsidR="00170E11">
        <w:t xml:space="preserve"> </w:t>
      </w:r>
      <w:r w:rsidR="001259A6">
        <w:t xml:space="preserve">charts the </w:t>
      </w:r>
      <w:r w:rsidR="00170E11">
        <w:t xml:space="preserve">change in the number of students by gender for the 10 years to </w:t>
      </w:r>
      <w:r w:rsidR="00D605CB">
        <w:t>2013</w:t>
      </w:r>
      <w:r w:rsidR="00170E11">
        <w:t>.</w:t>
      </w:r>
      <w:r w:rsidR="00766F18">
        <w:t xml:space="preserve"> From </w:t>
      </w:r>
      <w:r w:rsidR="00D605CB">
        <w:t>2003</w:t>
      </w:r>
      <w:r w:rsidR="00766F18">
        <w:t xml:space="preserve"> until 2005, </w:t>
      </w:r>
      <w:r w:rsidR="00753C6F">
        <w:t>before</w:t>
      </w:r>
      <w:r w:rsidR="00766F18">
        <w:t xml:space="preserve"> the downward trend in non-degree enrolments started</w:t>
      </w:r>
      <w:r w:rsidR="001259A6">
        <w:t>, the number of enrolments increased</w:t>
      </w:r>
      <w:r w:rsidR="00D75D98">
        <w:t xml:space="preserve"> </w:t>
      </w:r>
      <w:r w:rsidR="00766201">
        <w:t xml:space="preserve">by </w:t>
      </w:r>
      <w:r w:rsidR="008017BA">
        <w:t>4.5</w:t>
      </w:r>
      <w:r w:rsidR="00766F18">
        <w:t xml:space="preserve"> percent</w:t>
      </w:r>
      <w:r w:rsidR="00495D1D">
        <w:t xml:space="preserve"> </w:t>
      </w:r>
      <w:r w:rsidR="00D75D98">
        <w:t>per year</w:t>
      </w:r>
      <w:r w:rsidR="00495D1D">
        <w:t xml:space="preserve">, on average, </w:t>
      </w:r>
      <w:r w:rsidR="00753C6F">
        <w:t>for women and 7.1</w:t>
      </w:r>
      <w:r w:rsidR="00C45C6F">
        <w:t xml:space="preserve"> percent per year</w:t>
      </w:r>
      <w:r w:rsidR="00B61141">
        <w:t>, on average,</w:t>
      </w:r>
      <w:r w:rsidR="00C45C6F">
        <w:t xml:space="preserve"> for men</w:t>
      </w:r>
      <w:r w:rsidR="00D75D98">
        <w:t>. Since 2005</w:t>
      </w:r>
      <w:r w:rsidR="00766F18">
        <w:t xml:space="preserve">, enrolments have decreased </w:t>
      </w:r>
      <w:r w:rsidR="001259A6">
        <w:t xml:space="preserve">by </w:t>
      </w:r>
      <w:r w:rsidR="00753C6F">
        <w:t>2.2</w:t>
      </w:r>
      <w:r w:rsidR="00766F18">
        <w:t xml:space="preserve"> percent</w:t>
      </w:r>
      <w:r w:rsidR="001259A6">
        <w:t xml:space="preserve"> per year</w:t>
      </w:r>
      <w:r w:rsidR="00766F18">
        <w:t>, on average,</w:t>
      </w:r>
      <w:r w:rsidR="00814777">
        <w:t xml:space="preserve"> </w:t>
      </w:r>
      <w:r w:rsidR="001259A6">
        <w:t xml:space="preserve">for women and by </w:t>
      </w:r>
      <w:r w:rsidR="00753C6F">
        <w:t>2.9</w:t>
      </w:r>
      <w:r w:rsidR="00766F18">
        <w:t xml:space="preserve"> percent per year, on average,</w:t>
      </w:r>
      <w:r w:rsidR="001259A6">
        <w:t xml:space="preserve"> for men.</w:t>
      </w:r>
    </w:p>
    <w:p w:rsidR="00170E11" w:rsidRDefault="00170E11" w:rsidP="00170E11">
      <w:pPr>
        <w:pStyle w:val="Caption"/>
      </w:pPr>
      <w:bookmarkStart w:id="46" w:name="_Ref322958554"/>
      <w:proofErr w:type="gramStart"/>
      <w:r>
        <w:t xml:space="preserve">Figure </w:t>
      </w:r>
      <w:r w:rsidR="005B67D2">
        <w:fldChar w:fldCharType="begin"/>
      </w:r>
      <w:r w:rsidR="00B5211F">
        <w:instrText xml:space="preserve"> STYLEREF 1 \s </w:instrText>
      </w:r>
      <w:r w:rsidR="005B67D2">
        <w:fldChar w:fldCharType="separate"/>
      </w:r>
      <w:r w:rsidR="00375A85">
        <w:rPr>
          <w:noProof/>
        </w:rPr>
        <w:t>7</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1</w:t>
      </w:r>
      <w:r w:rsidR="005B67D2">
        <w:fldChar w:fldCharType="end"/>
      </w:r>
      <w:bookmarkEnd w:id="46"/>
    </w:p>
    <w:p w:rsidR="00170E11" w:rsidRDefault="00170E11" w:rsidP="00170E11">
      <w:pPr>
        <w:pStyle w:val="Figurelabel"/>
      </w:pPr>
      <w:bookmarkStart w:id="47" w:name="_Toc384292901"/>
      <w:r>
        <w:t>Annual change in the number of domestic students by gender</w:t>
      </w:r>
      <w:bookmarkEnd w:id="47"/>
    </w:p>
    <w:p w:rsidR="00C71B8A" w:rsidRPr="00C71B8A" w:rsidRDefault="00294CB1" w:rsidP="00C71B8A">
      <w:pPr>
        <w:pStyle w:val="BodyText"/>
      </w:pPr>
      <w:r w:rsidRPr="00294CB1">
        <w:rPr>
          <w:noProof/>
          <w:lang w:eastAsia="en-NZ"/>
        </w:rPr>
        <w:drawing>
          <wp:inline distT="0" distB="0" distL="0" distR="0">
            <wp:extent cx="5400040" cy="3289785"/>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5400040" cy="3289785"/>
                    </a:xfrm>
                    <a:prstGeom prst="rect">
                      <a:avLst/>
                    </a:prstGeom>
                    <a:noFill/>
                    <a:ln w="9525">
                      <a:noFill/>
                      <a:miter lim="800000"/>
                      <a:headEnd/>
                      <a:tailEnd/>
                    </a:ln>
                  </pic:spPr>
                </pic:pic>
              </a:graphicData>
            </a:graphic>
          </wp:inline>
        </w:drawing>
      </w:r>
    </w:p>
    <w:p w:rsidR="00C71B8A" w:rsidRDefault="006052EB" w:rsidP="00C71B8A">
      <w:pPr>
        <w:pStyle w:val="BodyText"/>
        <w:spacing w:before="360" w:after="180"/>
      </w:pPr>
      <w:r>
        <w:t>About 51 percent of the</w:t>
      </w:r>
      <w:r w:rsidR="00C71B8A">
        <w:t xml:space="preserve"> New Zealand population </w:t>
      </w:r>
      <w:r>
        <w:t>are women</w:t>
      </w:r>
      <w:r w:rsidR="00753C6F">
        <w:t>, compared to 58</w:t>
      </w:r>
      <w:r w:rsidR="00C71B8A">
        <w:t xml:space="preserve"> percent </w:t>
      </w:r>
      <w:r>
        <w:t>of</w:t>
      </w:r>
      <w:r w:rsidR="00C71B8A">
        <w:t xml:space="preserve"> the </w:t>
      </w:r>
      <w:r w:rsidR="00C45C6F">
        <w:t xml:space="preserve">domestic </w:t>
      </w:r>
      <w:r w:rsidR="00C71B8A">
        <w:t>tertiary student population.</w:t>
      </w:r>
    </w:p>
    <w:p w:rsidR="00C71B8A" w:rsidRDefault="00C71B8A" w:rsidP="00C71B8A">
      <w:pPr>
        <w:pStyle w:val="BodyText"/>
        <w:spacing w:before="360" w:after="180"/>
      </w:pPr>
      <w:r>
        <w:t xml:space="preserve">From </w:t>
      </w:r>
      <w:r w:rsidR="00D605CB">
        <w:t>2012</w:t>
      </w:r>
      <w:r>
        <w:t xml:space="preserve"> to </w:t>
      </w:r>
      <w:r w:rsidR="00D605CB">
        <w:t>2013</w:t>
      </w:r>
      <w:r>
        <w:t xml:space="preserve">, the number of female students decreased by </w:t>
      </w:r>
      <w:r w:rsidR="00320D44">
        <w:t>1.3</w:t>
      </w:r>
      <w:r>
        <w:t xml:space="preserve"> percent. </w:t>
      </w:r>
      <w:r w:rsidR="008135D5">
        <w:t xml:space="preserve"> This was due to decreases in enrolments in both degree and higher qualifications (down by 1.0 percent) and non-degree qualifications </w:t>
      </w:r>
      <w:r w:rsidR="0032606C">
        <w:t xml:space="preserve">(down </w:t>
      </w:r>
      <w:r w:rsidR="008135D5">
        <w:t>by 2.2 percent</w:t>
      </w:r>
      <w:r w:rsidR="0032606C">
        <w:t>)</w:t>
      </w:r>
      <w:r w:rsidR="008135D5">
        <w:t>.</w:t>
      </w:r>
      <w:r w:rsidR="0032606C">
        <w:t xml:space="preserve">  The main drivers of the</w:t>
      </w:r>
      <w:r>
        <w:t xml:space="preserve"> decrease </w:t>
      </w:r>
      <w:r w:rsidR="0032606C">
        <w:t xml:space="preserve">in non-degree qualifications </w:t>
      </w:r>
      <w:r>
        <w:t xml:space="preserve">were fewer enrolments in level </w:t>
      </w:r>
      <w:r w:rsidR="00320D44">
        <w:t>4 certificates (down 5.0</w:t>
      </w:r>
      <w:r>
        <w:t xml:space="preserve"> percent) and level </w:t>
      </w:r>
      <w:r w:rsidR="00320D44">
        <w:t>5 to 7 diplomas (down 5</w:t>
      </w:r>
      <w:r w:rsidR="00291A11">
        <w:t>.9</w:t>
      </w:r>
      <w:r>
        <w:t xml:space="preserve"> percent). </w:t>
      </w:r>
      <w:r w:rsidR="00672B71">
        <w:t xml:space="preserve"> </w:t>
      </w:r>
      <w:r w:rsidR="00320D44">
        <w:t>Enrolments by women at</w:t>
      </w:r>
      <w:r w:rsidR="008F1A8B">
        <w:t xml:space="preserve"> </w:t>
      </w:r>
      <w:proofErr w:type="gramStart"/>
      <w:r w:rsidR="00320D44">
        <w:t>bachelors</w:t>
      </w:r>
      <w:proofErr w:type="gramEnd"/>
      <w:r w:rsidR="00320D44">
        <w:t xml:space="preserve"> level and in </w:t>
      </w:r>
      <w:r w:rsidR="001C60E7">
        <w:t>honours</w:t>
      </w:r>
      <w:r w:rsidR="001C60E7">
        <w:rPr>
          <w:rStyle w:val="FootnoteReference"/>
        </w:rPr>
        <w:footnoteReference w:id="12"/>
      </w:r>
      <w:r w:rsidR="008F1A8B">
        <w:t xml:space="preserve"> also fell</w:t>
      </w:r>
      <w:r w:rsidR="00EB1F53">
        <w:t xml:space="preserve"> in </w:t>
      </w:r>
      <w:r w:rsidR="00D605CB">
        <w:t>2013</w:t>
      </w:r>
      <w:r w:rsidR="00672B71">
        <w:t>.  E</w:t>
      </w:r>
      <w:r w:rsidR="00EB1F53">
        <w:t>nrolments</w:t>
      </w:r>
      <w:r w:rsidR="00320D44">
        <w:t xml:space="preserve"> continued to increase</w:t>
      </w:r>
      <w:r w:rsidR="00672B71">
        <w:t xml:space="preserve"> from 2012 to 2013</w:t>
      </w:r>
      <w:r w:rsidR="00EB1F53">
        <w:t xml:space="preserve"> </w:t>
      </w:r>
      <w:r w:rsidR="00672B71">
        <w:t>in</w:t>
      </w:r>
      <w:r w:rsidR="00EB1F53">
        <w:t xml:space="preserve"> </w:t>
      </w:r>
      <w:r w:rsidR="00291A11">
        <w:t>masters</w:t>
      </w:r>
      <w:r w:rsidR="00320D44">
        <w:t xml:space="preserve"> degrees (up by 3.4 percent)</w:t>
      </w:r>
      <w:r w:rsidR="00EB1F53">
        <w:t xml:space="preserve"> and doctoral degrees</w:t>
      </w:r>
      <w:r w:rsidR="00291A11">
        <w:t xml:space="preserve"> </w:t>
      </w:r>
      <w:r w:rsidR="00320D44">
        <w:t>(up by 0.5 percent)</w:t>
      </w:r>
      <w:r w:rsidR="008135D5">
        <w:t>.</w:t>
      </w:r>
    </w:p>
    <w:p w:rsidR="00D570FD" w:rsidRDefault="00D570FD">
      <w:pPr>
        <w:rPr>
          <w:szCs w:val="20"/>
        </w:rPr>
      </w:pPr>
      <w:r>
        <w:br w:type="page"/>
      </w:r>
    </w:p>
    <w:p w:rsidR="00672B71" w:rsidRPr="00A52685" w:rsidRDefault="003A018F" w:rsidP="009E1CAD">
      <w:pPr>
        <w:pStyle w:val="BodyText"/>
      </w:pPr>
      <w:r>
        <w:lastRenderedPageBreak/>
        <w:t>The number of e</w:t>
      </w:r>
      <w:r w:rsidR="00324780">
        <w:t>nrolments made by men</w:t>
      </w:r>
      <w:r w:rsidR="00EB1F53">
        <w:t xml:space="preserve"> </w:t>
      </w:r>
      <w:r w:rsidR="00753C6F">
        <w:t>was 0.5</w:t>
      </w:r>
      <w:r>
        <w:t xml:space="preserve"> percent </w:t>
      </w:r>
      <w:r w:rsidR="00EB1F53">
        <w:t xml:space="preserve">lower </w:t>
      </w:r>
      <w:r>
        <w:t xml:space="preserve">in </w:t>
      </w:r>
      <w:r w:rsidR="00D605CB">
        <w:t>2013</w:t>
      </w:r>
      <w:r>
        <w:t xml:space="preserve"> than in </w:t>
      </w:r>
      <w:r w:rsidR="00D605CB">
        <w:t>2012</w:t>
      </w:r>
      <w:r w:rsidR="00672B71">
        <w:t>.</w:t>
      </w:r>
      <w:r>
        <w:t xml:space="preserve"> </w:t>
      </w:r>
      <w:r w:rsidR="00320D44">
        <w:t>E</w:t>
      </w:r>
      <w:r w:rsidR="00EB1F53">
        <w:t xml:space="preserve">nrolments </w:t>
      </w:r>
      <w:r w:rsidR="0072163D">
        <w:t xml:space="preserve">made by men showed </w:t>
      </w:r>
      <w:r w:rsidR="00320D44">
        <w:t>similar size</w:t>
      </w:r>
      <w:r w:rsidR="0072163D">
        <w:t xml:space="preserve"> decreases from </w:t>
      </w:r>
      <w:r w:rsidR="00D605CB">
        <w:t>2012</w:t>
      </w:r>
      <w:r w:rsidR="0072163D">
        <w:t xml:space="preserve"> to </w:t>
      </w:r>
      <w:r w:rsidR="00D605CB">
        <w:t>2013</w:t>
      </w:r>
      <w:r w:rsidR="00320D44">
        <w:t xml:space="preserve"> in non-degree </w:t>
      </w:r>
      <w:r w:rsidR="00672B71">
        <w:t xml:space="preserve">qualifications (down by 0.7 percent) </w:t>
      </w:r>
      <w:r w:rsidR="00320D44">
        <w:t xml:space="preserve">and </w:t>
      </w:r>
      <w:r w:rsidR="00672B71">
        <w:t>degree and higher</w:t>
      </w:r>
      <w:r w:rsidR="00320D44">
        <w:t xml:space="preserve"> qualifications</w:t>
      </w:r>
      <w:r w:rsidR="00672B71">
        <w:t xml:space="preserve"> (down by 0.8 percent)</w:t>
      </w:r>
      <w:r w:rsidR="00320D44">
        <w:t>.</w:t>
      </w:r>
      <w:r w:rsidR="00672B71">
        <w:t xml:space="preserve">  Enrolments by men increased from 2012 to 2013 for honours and level 1 to 3 certificates</w:t>
      </w:r>
      <w:r w:rsidR="00767FF4">
        <w:t xml:space="preserve"> (see comment </w:t>
      </w:r>
      <w:r w:rsidR="009E4743">
        <w:t>on the reclassification of qualifications by level in section 4)</w:t>
      </w:r>
      <w:r w:rsidR="00672B71">
        <w:t>.</w:t>
      </w:r>
    </w:p>
    <w:p w:rsidR="00316A9F" w:rsidRDefault="00A544AD" w:rsidP="00A544AD">
      <w:pPr>
        <w:pStyle w:val="Caption"/>
      </w:pPr>
      <w:proofErr w:type="gramStart"/>
      <w:r>
        <w:t xml:space="preserve">Figure </w:t>
      </w:r>
      <w:r w:rsidR="005B67D2">
        <w:fldChar w:fldCharType="begin"/>
      </w:r>
      <w:r w:rsidR="00B5211F">
        <w:instrText xml:space="preserve"> STYLEREF 1 \s </w:instrText>
      </w:r>
      <w:r w:rsidR="005B67D2">
        <w:fldChar w:fldCharType="separate"/>
      </w:r>
      <w:r w:rsidR="00375A85">
        <w:rPr>
          <w:noProof/>
        </w:rPr>
        <w:t>7</w:t>
      </w:r>
      <w:r w:rsidR="005B67D2">
        <w:fldChar w:fldCharType="end"/>
      </w:r>
      <w:r w:rsidR="00531D62">
        <w:t>.</w:t>
      </w:r>
      <w:proofErr w:type="gramEnd"/>
      <w:r w:rsidR="005B67D2">
        <w:fldChar w:fldCharType="begin"/>
      </w:r>
      <w:r w:rsidR="00531D62">
        <w:instrText xml:space="preserve"> SEQ Figure \* ARABIC \s 1 </w:instrText>
      </w:r>
      <w:r w:rsidR="005B67D2">
        <w:fldChar w:fldCharType="separate"/>
      </w:r>
      <w:r w:rsidR="00375A85">
        <w:rPr>
          <w:noProof/>
        </w:rPr>
        <w:t>2</w:t>
      </w:r>
      <w:r w:rsidR="005B67D2">
        <w:fldChar w:fldCharType="end"/>
      </w:r>
    </w:p>
    <w:p w:rsidR="00A544AD" w:rsidRDefault="00A544AD" w:rsidP="00A544AD">
      <w:pPr>
        <w:pStyle w:val="Figurelabel"/>
      </w:pPr>
      <w:bookmarkStart w:id="48" w:name="_Toc384292902"/>
      <w:r>
        <w:t xml:space="preserve">Distribution of domestic students in </w:t>
      </w:r>
      <w:r w:rsidR="00D605CB">
        <w:t>2013</w:t>
      </w:r>
      <w:r>
        <w:t xml:space="preserve"> by qualification level and gender</w:t>
      </w:r>
      <w:bookmarkEnd w:id="48"/>
    </w:p>
    <w:p w:rsidR="00A544AD" w:rsidRDefault="00446656" w:rsidP="00A544AD">
      <w:pPr>
        <w:pStyle w:val="BodyText"/>
      </w:pPr>
      <w:r w:rsidRPr="00446656">
        <w:rPr>
          <w:noProof/>
          <w:lang w:eastAsia="en-NZ"/>
        </w:rPr>
        <w:drawing>
          <wp:inline distT="0" distB="0" distL="0" distR="0">
            <wp:extent cx="5400040" cy="328978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400040" cy="3289785"/>
                    </a:xfrm>
                    <a:prstGeom prst="rect">
                      <a:avLst/>
                    </a:prstGeom>
                    <a:noFill/>
                    <a:ln w="9525">
                      <a:noFill/>
                      <a:miter lim="800000"/>
                      <a:headEnd/>
                      <a:tailEnd/>
                    </a:ln>
                  </pic:spPr>
                </pic:pic>
              </a:graphicData>
            </a:graphic>
          </wp:inline>
        </w:drawing>
      </w:r>
    </w:p>
    <w:p w:rsidR="006711D7" w:rsidRDefault="00EB3043" w:rsidP="00A544AD">
      <w:pPr>
        <w:pStyle w:val="BodyText"/>
        <w:spacing w:before="360" w:after="180"/>
      </w:pPr>
      <w:r>
        <w:t xml:space="preserve">From </w:t>
      </w:r>
      <w:r w:rsidR="00D605CB">
        <w:t>2012</w:t>
      </w:r>
      <w:r>
        <w:t xml:space="preserve"> to </w:t>
      </w:r>
      <w:r w:rsidR="00D605CB">
        <w:t>2013</w:t>
      </w:r>
      <w:r>
        <w:t>, t</w:t>
      </w:r>
      <w:r w:rsidR="00A544AD">
        <w:t>he average yearly study load increased</w:t>
      </w:r>
      <w:r w:rsidR="00D75D98">
        <w:t>, in terms of equivalent full-time student units,</w:t>
      </w:r>
      <w:r>
        <w:t xml:space="preserve"> f</w:t>
      </w:r>
      <w:r w:rsidR="006041B7">
        <w:t>rom 0.66 to 0.67</w:t>
      </w:r>
      <w:r w:rsidR="00A544AD">
        <w:t xml:space="preserve"> </w:t>
      </w:r>
      <w:r>
        <w:t xml:space="preserve">for </w:t>
      </w:r>
      <w:r w:rsidR="006041B7">
        <w:t>wo</w:t>
      </w:r>
      <w:r>
        <w:t xml:space="preserve">men and </w:t>
      </w:r>
      <w:r w:rsidR="006041B7">
        <w:t xml:space="preserve">it remained stable for men at </w:t>
      </w:r>
      <w:r>
        <w:t xml:space="preserve">0.66. </w:t>
      </w:r>
      <w:r w:rsidR="006041B7">
        <w:t>Before the shift from lower- to higher-level study began in</w:t>
      </w:r>
      <w:r w:rsidR="00630825">
        <w:t xml:space="preserve"> </w:t>
      </w:r>
      <w:r w:rsidR="00D605CB">
        <w:t>200</w:t>
      </w:r>
      <w:r w:rsidR="006041B7">
        <w:t>5</w:t>
      </w:r>
      <w:r w:rsidR="00A544AD">
        <w:t xml:space="preserve">, the average study load </w:t>
      </w:r>
      <w:r w:rsidR="006041B7">
        <w:t>was 0.56 for women and 0.51</w:t>
      </w:r>
      <w:r>
        <w:t xml:space="preserve"> for men.</w:t>
      </w:r>
    </w:p>
    <w:p w:rsidR="00A7607D" w:rsidRDefault="00A7607D" w:rsidP="009E1CAD">
      <w:pPr>
        <w:pStyle w:val="BodyText"/>
      </w:pPr>
      <w:r>
        <w:t>For information on the tertiary education participation rates for men and women see Section 3 of this report.</w:t>
      </w:r>
    </w:p>
    <w:p w:rsidR="00A544AD" w:rsidRDefault="006711D7" w:rsidP="006711D7">
      <w:pPr>
        <w:pStyle w:val="Heading1"/>
      </w:pPr>
      <w:r>
        <w:br w:type="page"/>
      </w:r>
      <w:bookmarkStart w:id="49" w:name="_Toc383697362"/>
      <w:r>
        <w:lastRenderedPageBreak/>
        <w:t>Ethnic groups</w:t>
      </w:r>
      <w:bookmarkEnd w:id="49"/>
    </w:p>
    <w:p w:rsidR="00757DBE" w:rsidRDefault="00610295" w:rsidP="006711D7">
      <w:pPr>
        <w:pStyle w:val="BodyText"/>
      </w:pPr>
      <w:proofErr w:type="spellStart"/>
      <w:r>
        <w:t>Pasifika</w:t>
      </w:r>
      <w:proofErr w:type="spellEnd"/>
      <w:r w:rsidR="009E4743">
        <w:t xml:space="preserve">, </w:t>
      </w:r>
      <w:proofErr w:type="spellStart"/>
      <w:r w:rsidR="009E4743">
        <w:t>Māori</w:t>
      </w:r>
      <w:proofErr w:type="spellEnd"/>
      <w:r w:rsidR="009E4743">
        <w:t xml:space="preserve"> and Asian</w:t>
      </w:r>
      <w:r>
        <w:t xml:space="preserve"> </w:t>
      </w:r>
      <w:r w:rsidR="00864508">
        <w:t xml:space="preserve">students </w:t>
      </w:r>
      <w:r w:rsidR="00757DBE">
        <w:t xml:space="preserve">in </w:t>
      </w:r>
      <w:r w:rsidR="00864508">
        <w:t>formal study</w:t>
      </w:r>
      <w:r w:rsidR="00A22B41">
        <w:t xml:space="preserve"> </w:t>
      </w:r>
      <w:r w:rsidR="00757DBE">
        <w:t>continued to</w:t>
      </w:r>
      <w:r w:rsidR="006711D7">
        <w:t xml:space="preserve"> increase</w:t>
      </w:r>
      <w:r w:rsidR="00757DBE">
        <w:t xml:space="preserve"> </w:t>
      </w:r>
      <w:r w:rsidR="00630825">
        <w:t xml:space="preserve">from </w:t>
      </w:r>
      <w:r w:rsidR="00D605CB">
        <w:t>2012</w:t>
      </w:r>
      <w:r w:rsidR="00630825">
        <w:t xml:space="preserve"> to </w:t>
      </w:r>
      <w:r w:rsidR="00D605CB">
        <w:t>2013</w:t>
      </w:r>
      <w:r w:rsidR="00630825">
        <w:t xml:space="preserve"> </w:t>
      </w:r>
      <w:r w:rsidR="00757DBE">
        <w:t xml:space="preserve">as proportion of total domestic students, </w:t>
      </w:r>
      <w:r w:rsidR="00707A0A">
        <w:t xml:space="preserve">while </w:t>
      </w:r>
      <w:r w:rsidR="008553C7">
        <w:t xml:space="preserve">European </w:t>
      </w:r>
      <w:r w:rsidR="00707A0A">
        <w:t>students decreased</w:t>
      </w:r>
      <w:r w:rsidR="008553C7">
        <w:t xml:space="preserve"> proportionately</w:t>
      </w:r>
      <w:r w:rsidR="00864508">
        <w:t>.</w:t>
      </w:r>
    </w:p>
    <w:p w:rsidR="00757DBE" w:rsidRDefault="00757DBE" w:rsidP="009E1CAD">
      <w:pPr>
        <w:pStyle w:val="BodyText"/>
      </w:pPr>
      <w:r>
        <w:t xml:space="preserve">The proportion of domestic students in the European ethnic group has slowly decreased from a high point </w:t>
      </w:r>
      <w:r w:rsidR="001D7D90">
        <w:t xml:space="preserve">of 71 percent </w:t>
      </w:r>
      <w:r w:rsidR="009E4743">
        <w:t xml:space="preserve">in 2000 </w:t>
      </w:r>
      <w:r w:rsidR="00C022F2">
        <w:t>to 63</w:t>
      </w:r>
      <w:r w:rsidR="00E74126">
        <w:t xml:space="preserve"> percent in </w:t>
      </w:r>
      <w:r w:rsidR="00D605CB">
        <w:t>2013</w:t>
      </w:r>
      <w:r>
        <w:t>.</w:t>
      </w:r>
    </w:p>
    <w:p w:rsidR="00757DBE" w:rsidRDefault="001D7D90" w:rsidP="009E1CAD">
      <w:pPr>
        <w:pStyle w:val="BodyText"/>
      </w:pPr>
      <w:proofErr w:type="spellStart"/>
      <w:r>
        <w:t>Māori</w:t>
      </w:r>
      <w:proofErr w:type="spellEnd"/>
      <w:r>
        <w:t xml:space="preserve"> students accounted for </w:t>
      </w:r>
      <w:r w:rsidR="00B15FF3">
        <w:t>19</w:t>
      </w:r>
      <w:r w:rsidR="00757DBE">
        <w:t xml:space="preserve"> percent of total domestic students in </w:t>
      </w:r>
      <w:r w:rsidR="00D605CB">
        <w:t>2012</w:t>
      </w:r>
      <w:r w:rsidR="00757DBE">
        <w:t xml:space="preserve"> and</w:t>
      </w:r>
      <w:r w:rsidR="00B15FF3">
        <w:t xml:space="preserve"> 22</w:t>
      </w:r>
      <w:r w:rsidR="009E4743">
        <w:t xml:space="preserve"> percent in</w:t>
      </w:r>
      <w:r w:rsidR="00757DBE">
        <w:t xml:space="preserve"> </w:t>
      </w:r>
      <w:r w:rsidR="00D605CB">
        <w:t>2013</w:t>
      </w:r>
      <w:r w:rsidR="00757DBE">
        <w:t xml:space="preserve">. The proportion of </w:t>
      </w:r>
      <w:proofErr w:type="spellStart"/>
      <w:r w:rsidR="00757DBE">
        <w:t>Māori</w:t>
      </w:r>
      <w:proofErr w:type="spellEnd"/>
      <w:r w:rsidR="00757DBE">
        <w:t xml:space="preserve"> students </w:t>
      </w:r>
      <w:r w:rsidR="00DF06E1">
        <w:t>has ranged from 19 percent to 2</w:t>
      </w:r>
      <w:r>
        <w:t>2</w:t>
      </w:r>
      <w:r w:rsidR="00757DBE">
        <w:t xml:space="preserve"> percent over the last 10 years.</w:t>
      </w:r>
    </w:p>
    <w:p w:rsidR="00757DBE" w:rsidRDefault="00A22B41" w:rsidP="009E1CAD">
      <w:pPr>
        <w:pStyle w:val="BodyText"/>
      </w:pPr>
      <w:r>
        <w:t>T</w:t>
      </w:r>
      <w:r w:rsidR="0045616F">
        <w:t>he</w:t>
      </w:r>
      <w:r w:rsidR="00B34CA8">
        <w:t xml:space="preserve"> proportion of </w:t>
      </w:r>
      <w:r w:rsidR="00610295">
        <w:t xml:space="preserve">domestic </w:t>
      </w:r>
      <w:proofErr w:type="spellStart"/>
      <w:r w:rsidR="00FB6EEF">
        <w:t>Pasifika</w:t>
      </w:r>
      <w:proofErr w:type="spellEnd"/>
      <w:r w:rsidR="00FB6EEF">
        <w:t xml:space="preserve"> </w:t>
      </w:r>
      <w:r w:rsidR="00B34CA8">
        <w:t xml:space="preserve">students has </w:t>
      </w:r>
      <w:r w:rsidR="00757DBE">
        <w:t>increased</w:t>
      </w:r>
      <w:r w:rsidR="00610295">
        <w:t xml:space="preserve"> over the last 10 years. I</w:t>
      </w:r>
      <w:r w:rsidR="00B34CA8">
        <w:t xml:space="preserve">n </w:t>
      </w:r>
      <w:r w:rsidR="00D605CB">
        <w:t>2013</w:t>
      </w:r>
      <w:r w:rsidR="00B34CA8">
        <w:t>, it</w:t>
      </w:r>
      <w:r w:rsidR="00F20499">
        <w:t xml:space="preserve"> </w:t>
      </w:r>
      <w:r w:rsidR="0045616F">
        <w:t xml:space="preserve">comprised </w:t>
      </w:r>
      <w:r w:rsidR="009E4743">
        <w:t>9.5</w:t>
      </w:r>
      <w:r w:rsidR="00567577">
        <w:t xml:space="preserve"> percent</w:t>
      </w:r>
      <w:r>
        <w:t xml:space="preserve"> of </w:t>
      </w:r>
      <w:r w:rsidR="00610295">
        <w:t xml:space="preserve">the </w:t>
      </w:r>
      <w:r>
        <w:t>total</w:t>
      </w:r>
      <w:r w:rsidR="00707A0A">
        <w:t xml:space="preserve">, compared to </w:t>
      </w:r>
      <w:r w:rsidR="001D7D90">
        <w:t>6.0</w:t>
      </w:r>
      <w:r w:rsidR="0045616F">
        <w:t xml:space="preserve"> percent in </w:t>
      </w:r>
      <w:r w:rsidR="00D605CB">
        <w:t>2003</w:t>
      </w:r>
      <w:r w:rsidR="004F27B2">
        <w:t>.</w:t>
      </w:r>
    </w:p>
    <w:p w:rsidR="004F27B2" w:rsidRDefault="00707A0A" w:rsidP="009E1CAD">
      <w:pPr>
        <w:pStyle w:val="BodyText"/>
      </w:pPr>
      <w:r>
        <w:t xml:space="preserve">The </w:t>
      </w:r>
      <w:r w:rsidR="00B34CA8">
        <w:t xml:space="preserve">proportion of </w:t>
      </w:r>
      <w:r w:rsidR="00FB6EEF">
        <w:t xml:space="preserve">Asian </w:t>
      </w:r>
      <w:r w:rsidR="00B34CA8">
        <w:t xml:space="preserve">domestic students has also increased since </w:t>
      </w:r>
      <w:r w:rsidR="00D605CB">
        <w:t>2003</w:t>
      </w:r>
      <w:r w:rsidR="00610295">
        <w:t>. I</w:t>
      </w:r>
      <w:r w:rsidR="00B34CA8">
        <w:t xml:space="preserve">n </w:t>
      </w:r>
      <w:r w:rsidR="00D605CB">
        <w:t>2013</w:t>
      </w:r>
      <w:r w:rsidR="00B34CA8">
        <w:t xml:space="preserve">, </w:t>
      </w:r>
      <w:r w:rsidR="00610295">
        <w:t>domestic Asian</w:t>
      </w:r>
      <w:r w:rsidR="00B34CA8">
        <w:t xml:space="preserve"> </w:t>
      </w:r>
      <w:r w:rsidR="00610295">
        <w:t xml:space="preserve">students </w:t>
      </w:r>
      <w:r w:rsidR="00B15FF3">
        <w:t>comprised 13</w:t>
      </w:r>
      <w:r>
        <w:t xml:space="preserve"> percent</w:t>
      </w:r>
      <w:r w:rsidR="00610295">
        <w:t xml:space="preserve"> of the total</w:t>
      </w:r>
      <w:r>
        <w:t xml:space="preserve">, </w:t>
      </w:r>
      <w:r w:rsidR="00B15FF3">
        <w:t>compared to 11</w:t>
      </w:r>
      <w:r w:rsidR="00757DBE">
        <w:t xml:space="preserve"> percent in </w:t>
      </w:r>
      <w:r w:rsidR="00D605CB">
        <w:t>2003</w:t>
      </w:r>
      <w:r w:rsidR="00757DBE">
        <w:t>.</w:t>
      </w:r>
    </w:p>
    <w:p w:rsidR="00FB6EEF" w:rsidRDefault="00F20499" w:rsidP="009E1CAD">
      <w:pPr>
        <w:pStyle w:val="BodyText"/>
      </w:pPr>
      <w:r>
        <w:t>T</w:t>
      </w:r>
      <w:r w:rsidR="0083259C">
        <w:t>he O</w:t>
      </w:r>
      <w:r w:rsidR="00567577">
        <w:t xml:space="preserve">ther ethnic group </w:t>
      </w:r>
      <w:r>
        <w:t>increased</w:t>
      </w:r>
      <w:r w:rsidR="00567577">
        <w:t xml:space="preserve"> as a proportion of total domestic students</w:t>
      </w:r>
      <w:r>
        <w:t xml:space="preserve"> </w:t>
      </w:r>
      <w:r w:rsidR="001D7D90">
        <w:t>from 4.4</w:t>
      </w:r>
      <w:r w:rsidR="00C022F2">
        <w:t xml:space="preserve"> percent</w:t>
      </w:r>
      <w:r w:rsidR="00757DBE">
        <w:t xml:space="preserve"> in </w:t>
      </w:r>
      <w:r w:rsidR="001D7D90">
        <w:t>2008</w:t>
      </w:r>
      <w:r w:rsidR="00757DBE">
        <w:t xml:space="preserve"> to</w:t>
      </w:r>
      <w:r w:rsidR="001D7D90">
        <w:t xml:space="preserve"> 4.8</w:t>
      </w:r>
      <w:r>
        <w:t xml:space="preserve"> percent in </w:t>
      </w:r>
      <w:r w:rsidR="00D605CB">
        <w:t>2013</w:t>
      </w:r>
      <w:r w:rsidR="00B34CA8">
        <w:t>.</w:t>
      </w:r>
    </w:p>
    <w:p w:rsidR="006711D7" w:rsidRDefault="006711D7" w:rsidP="006711D7">
      <w:pPr>
        <w:pStyle w:val="Caption"/>
      </w:pPr>
      <w:proofErr w:type="gramStart"/>
      <w:r>
        <w:t xml:space="preserve">Table </w:t>
      </w:r>
      <w:r w:rsidR="005B67D2">
        <w:fldChar w:fldCharType="begin"/>
      </w:r>
      <w:r w:rsidR="00174F22">
        <w:instrText xml:space="preserve"> STYLEREF 1 \s </w:instrText>
      </w:r>
      <w:r w:rsidR="005B67D2">
        <w:fldChar w:fldCharType="separate"/>
      </w:r>
      <w:r w:rsidR="00375A85">
        <w:rPr>
          <w:noProof/>
        </w:rPr>
        <w:t>8</w:t>
      </w:r>
      <w:r w:rsidR="005B67D2">
        <w:fldChar w:fldCharType="end"/>
      </w:r>
      <w:r w:rsidR="00174F22">
        <w:t>.</w:t>
      </w:r>
      <w:proofErr w:type="gramEnd"/>
      <w:r w:rsidR="005B67D2">
        <w:fldChar w:fldCharType="begin"/>
      </w:r>
      <w:r w:rsidR="00174F22">
        <w:instrText xml:space="preserve"> SEQ Table \* ARABIC \s 1 </w:instrText>
      </w:r>
      <w:r w:rsidR="005B67D2">
        <w:fldChar w:fldCharType="separate"/>
      </w:r>
      <w:r w:rsidR="00375A85">
        <w:rPr>
          <w:noProof/>
        </w:rPr>
        <w:t>1</w:t>
      </w:r>
      <w:r w:rsidR="005B67D2">
        <w:fldChar w:fldCharType="end"/>
      </w:r>
    </w:p>
    <w:p w:rsidR="006711D7" w:rsidRDefault="006711D7" w:rsidP="006711D7">
      <w:pPr>
        <w:pStyle w:val="Tablelabel"/>
      </w:pPr>
      <w:bookmarkStart w:id="50" w:name="_Toc292203331"/>
      <w:bookmarkStart w:id="51" w:name="_Toc292203829"/>
      <w:bookmarkStart w:id="52" w:name="_Toc384287875"/>
      <w:r>
        <w:t>Percentage of all students and domestic students in formal study by ethnic group</w:t>
      </w:r>
      <w:bookmarkEnd w:id="50"/>
      <w:bookmarkEnd w:id="51"/>
      <w:bookmarkEnd w:id="52"/>
    </w:p>
    <w:tbl>
      <w:tblPr>
        <w:tblW w:w="5000" w:type="pct"/>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Look w:val="01E0"/>
      </w:tblPr>
      <w:tblGrid>
        <w:gridCol w:w="2157"/>
        <w:gridCol w:w="1077"/>
        <w:gridCol w:w="1077"/>
        <w:gridCol w:w="1077"/>
        <w:gridCol w:w="1077"/>
        <w:gridCol w:w="1077"/>
        <w:gridCol w:w="1076"/>
      </w:tblGrid>
      <w:tr w:rsidR="008553C7" w:rsidTr="008553C7">
        <w:tc>
          <w:tcPr>
            <w:tcW w:w="1251" w:type="pct"/>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8553C7" w:rsidRDefault="008553C7" w:rsidP="006711D7">
            <w:pPr>
              <w:pStyle w:val="Tabletext"/>
            </w:pPr>
          </w:p>
        </w:tc>
        <w:tc>
          <w:tcPr>
            <w:tcW w:w="1875" w:type="pct"/>
            <w:gridSpan w:val="3"/>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8553C7" w:rsidRDefault="008553C7" w:rsidP="008553C7">
            <w:pPr>
              <w:pStyle w:val="Tableheading"/>
            </w:pPr>
            <w:r>
              <w:t>Domestic students</w:t>
            </w:r>
          </w:p>
        </w:tc>
        <w:tc>
          <w:tcPr>
            <w:tcW w:w="1874" w:type="pct"/>
            <w:gridSpan w:val="3"/>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8553C7" w:rsidRDefault="008553C7" w:rsidP="006711D7">
            <w:pPr>
              <w:pStyle w:val="Tableheading"/>
            </w:pPr>
            <w:r>
              <w:t>International students</w:t>
            </w:r>
          </w:p>
        </w:tc>
      </w:tr>
      <w:tr w:rsidR="006711D7" w:rsidTr="006711D7">
        <w:tc>
          <w:tcPr>
            <w:tcW w:w="1251" w:type="pct"/>
            <w:tcBorders>
              <w:top w:val="nil"/>
              <w:left w:val="single" w:sz="4" w:space="0" w:color="7F7F7F"/>
              <w:bottom w:val="nil"/>
              <w:right w:val="single" w:sz="4" w:space="0" w:color="7F7F7F"/>
              <w:tl2br w:val="nil"/>
              <w:tr2bl w:val="nil"/>
            </w:tcBorders>
          </w:tcPr>
          <w:p w:rsidR="006711D7" w:rsidRDefault="006711D7" w:rsidP="006711D7">
            <w:pPr>
              <w:pStyle w:val="Tabletext"/>
            </w:pPr>
          </w:p>
        </w:tc>
        <w:tc>
          <w:tcPr>
            <w:tcW w:w="3749" w:type="pct"/>
            <w:gridSpan w:val="6"/>
            <w:tcBorders>
              <w:top w:val="nil"/>
              <w:left w:val="single" w:sz="4" w:space="0" w:color="7F7F7F"/>
              <w:bottom w:val="nil"/>
              <w:right w:val="single" w:sz="4" w:space="0" w:color="7F7F7F"/>
              <w:tl2br w:val="nil"/>
              <w:tr2bl w:val="nil"/>
            </w:tcBorders>
          </w:tcPr>
          <w:p w:rsidR="006711D7" w:rsidRDefault="006711D7" w:rsidP="006711D7">
            <w:pPr>
              <w:pStyle w:val="Tabletext"/>
              <w:jc w:val="center"/>
            </w:pPr>
            <w:r>
              <w:t>Percentages</w:t>
            </w:r>
          </w:p>
        </w:tc>
      </w:tr>
      <w:tr w:rsidR="008553C7" w:rsidTr="006711D7">
        <w:tc>
          <w:tcPr>
            <w:tcW w:w="1251" w:type="pct"/>
            <w:tcBorders>
              <w:top w:val="nil"/>
              <w:left w:val="single" w:sz="4" w:space="0" w:color="7F7F7F"/>
              <w:bottom w:val="nil"/>
              <w:right w:val="single" w:sz="4" w:space="0" w:color="7F7F7F"/>
              <w:tl2br w:val="nil"/>
              <w:tr2bl w:val="nil"/>
            </w:tcBorders>
            <w:shd w:val="clear" w:color="auto" w:fill="C2D8EA"/>
          </w:tcPr>
          <w:p w:rsidR="008553C7" w:rsidRDefault="008553C7" w:rsidP="006711D7">
            <w:pPr>
              <w:pStyle w:val="Tabletext"/>
            </w:pPr>
          </w:p>
        </w:tc>
        <w:tc>
          <w:tcPr>
            <w:tcW w:w="625" w:type="pct"/>
            <w:tcBorders>
              <w:top w:val="nil"/>
              <w:left w:val="single" w:sz="4" w:space="0" w:color="7F7F7F"/>
              <w:bottom w:val="nil"/>
              <w:right w:val="single" w:sz="4" w:space="0" w:color="7F7F7F"/>
              <w:tl2br w:val="nil"/>
              <w:tr2bl w:val="nil"/>
            </w:tcBorders>
            <w:shd w:val="clear" w:color="auto" w:fill="C2D8EA"/>
          </w:tcPr>
          <w:p w:rsidR="008553C7" w:rsidRPr="00BB22EA" w:rsidRDefault="008553C7" w:rsidP="006711D7">
            <w:pPr>
              <w:jc w:val="center"/>
              <w:rPr>
                <w:rFonts w:ascii="Arial Narrow" w:hAnsi="Arial Narrow" w:cs="Arial"/>
                <w:sz w:val="16"/>
                <w:szCs w:val="16"/>
              </w:rPr>
            </w:pPr>
            <w:r>
              <w:rPr>
                <w:rFonts w:ascii="Arial Narrow" w:hAnsi="Arial Narrow" w:cs="Arial"/>
                <w:sz w:val="16"/>
                <w:szCs w:val="16"/>
              </w:rPr>
              <w:t>2003</w:t>
            </w:r>
          </w:p>
        </w:tc>
        <w:tc>
          <w:tcPr>
            <w:tcW w:w="625" w:type="pct"/>
            <w:tcBorders>
              <w:top w:val="nil"/>
              <w:left w:val="single" w:sz="4" w:space="0" w:color="7F7F7F"/>
              <w:bottom w:val="nil"/>
              <w:right w:val="single" w:sz="4" w:space="0" w:color="7F7F7F"/>
              <w:tl2br w:val="nil"/>
              <w:tr2bl w:val="nil"/>
            </w:tcBorders>
            <w:shd w:val="clear" w:color="auto" w:fill="C2D8EA"/>
          </w:tcPr>
          <w:p w:rsidR="008553C7" w:rsidRPr="00BB22EA" w:rsidRDefault="008553C7" w:rsidP="006711D7">
            <w:pPr>
              <w:jc w:val="center"/>
              <w:rPr>
                <w:rFonts w:ascii="Arial Narrow" w:hAnsi="Arial Narrow" w:cs="Arial"/>
                <w:sz w:val="16"/>
                <w:szCs w:val="16"/>
              </w:rPr>
            </w:pPr>
            <w:r>
              <w:rPr>
                <w:rFonts w:ascii="Arial Narrow" w:hAnsi="Arial Narrow" w:cs="Arial"/>
                <w:sz w:val="16"/>
                <w:szCs w:val="16"/>
              </w:rPr>
              <w:t>2008</w:t>
            </w:r>
          </w:p>
        </w:tc>
        <w:tc>
          <w:tcPr>
            <w:tcW w:w="625" w:type="pct"/>
            <w:tcBorders>
              <w:top w:val="nil"/>
              <w:left w:val="single" w:sz="4" w:space="0" w:color="7F7F7F"/>
              <w:bottom w:val="nil"/>
              <w:right w:val="single" w:sz="4" w:space="0" w:color="7F7F7F"/>
              <w:tl2br w:val="nil"/>
              <w:tr2bl w:val="nil"/>
            </w:tcBorders>
            <w:shd w:val="clear" w:color="auto" w:fill="C2D8EA"/>
          </w:tcPr>
          <w:p w:rsidR="008553C7" w:rsidRPr="00BB22EA" w:rsidRDefault="008553C7" w:rsidP="006711D7">
            <w:pPr>
              <w:jc w:val="center"/>
              <w:rPr>
                <w:rFonts w:ascii="Arial Narrow" w:hAnsi="Arial Narrow" w:cs="Arial"/>
                <w:sz w:val="16"/>
                <w:szCs w:val="16"/>
              </w:rPr>
            </w:pPr>
            <w:r>
              <w:rPr>
                <w:rFonts w:ascii="Arial Narrow" w:hAnsi="Arial Narrow" w:cs="Arial"/>
                <w:sz w:val="16"/>
                <w:szCs w:val="16"/>
              </w:rPr>
              <w:t>2013</w:t>
            </w:r>
          </w:p>
        </w:tc>
        <w:tc>
          <w:tcPr>
            <w:tcW w:w="625" w:type="pct"/>
            <w:tcBorders>
              <w:top w:val="nil"/>
              <w:left w:val="single" w:sz="4" w:space="0" w:color="7F7F7F"/>
              <w:bottom w:val="nil"/>
              <w:right w:val="single" w:sz="4" w:space="0" w:color="7F7F7F"/>
              <w:tl2br w:val="nil"/>
              <w:tr2bl w:val="nil"/>
            </w:tcBorders>
            <w:shd w:val="clear" w:color="auto" w:fill="C2D8EA"/>
          </w:tcPr>
          <w:p w:rsidR="008553C7" w:rsidRPr="00BB22EA" w:rsidRDefault="008553C7" w:rsidP="008553C7">
            <w:pPr>
              <w:jc w:val="center"/>
              <w:rPr>
                <w:rFonts w:ascii="Arial Narrow" w:hAnsi="Arial Narrow" w:cs="Arial"/>
                <w:sz w:val="16"/>
                <w:szCs w:val="16"/>
              </w:rPr>
            </w:pPr>
            <w:r>
              <w:rPr>
                <w:rFonts w:ascii="Arial Narrow" w:hAnsi="Arial Narrow" w:cs="Arial"/>
                <w:sz w:val="16"/>
                <w:szCs w:val="16"/>
              </w:rPr>
              <w:t>2003</w:t>
            </w:r>
          </w:p>
        </w:tc>
        <w:tc>
          <w:tcPr>
            <w:tcW w:w="625" w:type="pct"/>
            <w:tcBorders>
              <w:top w:val="nil"/>
              <w:left w:val="single" w:sz="4" w:space="0" w:color="7F7F7F"/>
              <w:bottom w:val="nil"/>
              <w:right w:val="single" w:sz="4" w:space="0" w:color="7F7F7F"/>
              <w:tl2br w:val="nil"/>
              <w:tr2bl w:val="nil"/>
            </w:tcBorders>
            <w:shd w:val="clear" w:color="auto" w:fill="C2D8EA"/>
          </w:tcPr>
          <w:p w:rsidR="008553C7" w:rsidRPr="00BB22EA" w:rsidRDefault="008553C7" w:rsidP="008553C7">
            <w:pPr>
              <w:jc w:val="center"/>
              <w:rPr>
                <w:rFonts w:ascii="Arial Narrow" w:hAnsi="Arial Narrow" w:cs="Arial"/>
                <w:sz w:val="16"/>
                <w:szCs w:val="16"/>
              </w:rPr>
            </w:pPr>
            <w:r>
              <w:rPr>
                <w:rFonts w:ascii="Arial Narrow" w:hAnsi="Arial Narrow" w:cs="Arial"/>
                <w:sz w:val="16"/>
                <w:szCs w:val="16"/>
              </w:rPr>
              <w:t>2008</w:t>
            </w:r>
          </w:p>
        </w:tc>
        <w:tc>
          <w:tcPr>
            <w:tcW w:w="624" w:type="pct"/>
            <w:tcBorders>
              <w:top w:val="nil"/>
              <w:left w:val="single" w:sz="4" w:space="0" w:color="7F7F7F"/>
              <w:bottom w:val="nil"/>
              <w:right w:val="single" w:sz="4" w:space="0" w:color="7F7F7F"/>
              <w:tl2br w:val="nil"/>
              <w:tr2bl w:val="nil"/>
            </w:tcBorders>
            <w:shd w:val="clear" w:color="auto" w:fill="C2D8EA"/>
          </w:tcPr>
          <w:p w:rsidR="008553C7" w:rsidRPr="00BB22EA" w:rsidRDefault="008553C7" w:rsidP="008553C7">
            <w:pPr>
              <w:jc w:val="center"/>
              <w:rPr>
                <w:rFonts w:ascii="Arial Narrow" w:hAnsi="Arial Narrow" w:cs="Arial"/>
                <w:sz w:val="16"/>
                <w:szCs w:val="16"/>
              </w:rPr>
            </w:pPr>
            <w:r>
              <w:rPr>
                <w:rFonts w:ascii="Arial Narrow" w:hAnsi="Arial Narrow" w:cs="Arial"/>
                <w:sz w:val="16"/>
                <w:szCs w:val="16"/>
              </w:rPr>
              <w:t>2013</w:t>
            </w:r>
          </w:p>
        </w:tc>
      </w:tr>
      <w:tr w:rsidR="00383B99" w:rsidTr="00383B99">
        <w:tc>
          <w:tcPr>
            <w:tcW w:w="1251" w:type="pct"/>
            <w:tcBorders>
              <w:top w:val="nil"/>
              <w:left w:val="single" w:sz="4" w:space="0" w:color="7F7F7F"/>
              <w:bottom w:val="nil"/>
              <w:right w:val="single" w:sz="4" w:space="0" w:color="7F7F7F"/>
              <w:tl2br w:val="nil"/>
              <w:tr2bl w:val="nil"/>
            </w:tcBorders>
          </w:tcPr>
          <w:p w:rsidR="00383B99" w:rsidRDefault="00383B99" w:rsidP="006711D7">
            <w:pPr>
              <w:pStyle w:val="Tabletext"/>
            </w:pPr>
            <w:r>
              <w:t>Europeans</w:t>
            </w:r>
          </w:p>
        </w:tc>
        <w:tc>
          <w:tcPr>
            <w:tcW w:w="625" w:type="pct"/>
            <w:tcBorders>
              <w:top w:val="nil"/>
              <w:left w:val="single" w:sz="4" w:space="0" w:color="7F7F7F"/>
              <w:bottom w:val="nil"/>
              <w:right w:val="single" w:sz="4" w:space="0" w:color="7F7F7F"/>
              <w:tl2br w:val="nil"/>
              <w:tr2bl w:val="nil"/>
            </w:tcBorders>
          </w:tcPr>
          <w:p w:rsidR="00383B99" w:rsidRPr="009F73C1" w:rsidRDefault="008553C7" w:rsidP="009F73C1">
            <w:pPr>
              <w:pStyle w:val="Tabletext"/>
              <w:ind w:right="340"/>
              <w:jc w:val="right"/>
            </w:pPr>
            <w:r>
              <w:t>65.0</w:t>
            </w:r>
          </w:p>
        </w:tc>
        <w:tc>
          <w:tcPr>
            <w:tcW w:w="625" w:type="pct"/>
            <w:tcBorders>
              <w:top w:val="nil"/>
              <w:left w:val="single" w:sz="4" w:space="0" w:color="7F7F7F"/>
              <w:bottom w:val="nil"/>
              <w:right w:val="single" w:sz="4" w:space="0" w:color="7F7F7F"/>
              <w:tl2br w:val="nil"/>
              <w:tr2bl w:val="nil"/>
            </w:tcBorders>
            <w:vAlign w:val="bottom"/>
          </w:tcPr>
          <w:p w:rsidR="00383B99" w:rsidRPr="00383B99" w:rsidRDefault="008553C7" w:rsidP="00383B99">
            <w:pPr>
              <w:pStyle w:val="Tabletext"/>
              <w:ind w:right="340"/>
              <w:jc w:val="right"/>
            </w:pPr>
            <w:r>
              <w:t>6</w:t>
            </w:r>
            <w:r w:rsidR="009E4743">
              <w:t>5.4</w:t>
            </w:r>
          </w:p>
        </w:tc>
        <w:tc>
          <w:tcPr>
            <w:tcW w:w="625" w:type="pct"/>
            <w:tcBorders>
              <w:top w:val="nil"/>
              <w:left w:val="single" w:sz="4" w:space="0" w:color="7F7F7F"/>
              <w:bottom w:val="nil"/>
              <w:right w:val="single" w:sz="4" w:space="0" w:color="7F7F7F"/>
              <w:tl2br w:val="nil"/>
              <w:tr2bl w:val="nil"/>
            </w:tcBorders>
          </w:tcPr>
          <w:p w:rsidR="00383B99" w:rsidRDefault="009E4743" w:rsidP="009F73C1">
            <w:pPr>
              <w:pStyle w:val="Tabletext"/>
              <w:ind w:right="340"/>
              <w:jc w:val="right"/>
            </w:pPr>
            <w:r>
              <w:t>63.1</w:t>
            </w:r>
          </w:p>
        </w:tc>
        <w:tc>
          <w:tcPr>
            <w:tcW w:w="625" w:type="pct"/>
            <w:tcBorders>
              <w:top w:val="nil"/>
              <w:left w:val="single" w:sz="4" w:space="0" w:color="7F7F7F"/>
              <w:bottom w:val="nil"/>
              <w:right w:val="single" w:sz="4" w:space="0" w:color="7F7F7F"/>
              <w:tl2br w:val="nil"/>
              <w:tr2bl w:val="nil"/>
            </w:tcBorders>
          </w:tcPr>
          <w:p w:rsidR="00383B99" w:rsidRPr="00383B99" w:rsidRDefault="008553C7" w:rsidP="00383B99">
            <w:pPr>
              <w:pStyle w:val="Tabletext"/>
              <w:ind w:right="340"/>
              <w:jc w:val="right"/>
            </w:pPr>
            <w:r>
              <w:t>6.3</w:t>
            </w:r>
          </w:p>
        </w:tc>
        <w:tc>
          <w:tcPr>
            <w:tcW w:w="625" w:type="pct"/>
            <w:tcBorders>
              <w:top w:val="nil"/>
              <w:left w:val="single" w:sz="4" w:space="0" w:color="7F7F7F"/>
              <w:bottom w:val="nil"/>
              <w:right w:val="single" w:sz="4" w:space="0" w:color="7F7F7F"/>
              <w:tl2br w:val="nil"/>
              <w:tr2bl w:val="nil"/>
            </w:tcBorders>
          </w:tcPr>
          <w:p w:rsidR="00383B99" w:rsidRDefault="008553C7" w:rsidP="006368F9">
            <w:pPr>
              <w:pStyle w:val="Tabletext"/>
              <w:ind w:right="340"/>
              <w:jc w:val="right"/>
            </w:pPr>
            <w:r>
              <w:t>11.3</w:t>
            </w:r>
          </w:p>
        </w:tc>
        <w:tc>
          <w:tcPr>
            <w:tcW w:w="624" w:type="pct"/>
            <w:tcBorders>
              <w:top w:val="nil"/>
              <w:left w:val="single" w:sz="4" w:space="0" w:color="7F7F7F"/>
              <w:bottom w:val="nil"/>
              <w:right w:val="single" w:sz="4" w:space="0" w:color="7F7F7F"/>
              <w:tl2br w:val="nil"/>
              <w:tr2bl w:val="nil"/>
            </w:tcBorders>
          </w:tcPr>
          <w:p w:rsidR="00383B99" w:rsidRPr="00383B99" w:rsidRDefault="008553C7" w:rsidP="00383B99">
            <w:pPr>
              <w:pStyle w:val="Tabletext"/>
              <w:ind w:right="340"/>
              <w:jc w:val="right"/>
            </w:pPr>
            <w:r>
              <w:t>8.8</w:t>
            </w:r>
          </w:p>
        </w:tc>
      </w:tr>
      <w:tr w:rsidR="00383B99" w:rsidTr="00383B99">
        <w:tc>
          <w:tcPr>
            <w:tcW w:w="1251" w:type="pct"/>
            <w:tcBorders>
              <w:top w:val="nil"/>
              <w:left w:val="single" w:sz="4" w:space="0" w:color="7F7F7F"/>
              <w:bottom w:val="nil"/>
              <w:right w:val="single" w:sz="4" w:space="0" w:color="7F7F7F"/>
              <w:tl2br w:val="nil"/>
              <w:tr2bl w:val="nil"/>
            </w:tcBorders>
            <w:shd w:val="clear" w:color="auto" w:fill="C2D8EA"/>
          </w:tcPr>
          <w:p w:rsidR="00383B99" w:rsidRDefault="00383B99" w:rsidP="006711D7">
            <w:pPr>
              <w:pStyle w:val="Tabletext"/>
            </w:pPr>
            <w:proofErr w:type="spellStart"/>
            <w:r>
              <w:t>Māori</w:t>
            </w:r>
            <w:proofErr w:type="spellEnd"/>
          </w:p>
        </w:tc>
        <w:tc>
          <w:tcPr>
            <w:tcW w:w="625" w:type="pct"/>
            <w:tcBorders>
              <w:top w:val="nil"/>
              <w:left w:val="single" w:sz="4" w:space="0" w:color="7F7F7F"/>
              <w:bottom w:val="nil"/>
              <w:right w:val="single" w:sz="4" w:space="0" w:color="7F7F7F"/>
              <w:tl2br w:val="nil"/>
              <w:tr2bl w:val="nil"/>
            </w:tcBorders>
            <w:shd w:val="clear" w:color="auto" w:fill="C2D8EA"/>
          </w:tcPr>
          <w:p w:rsidR="00383B99" w:rsidRPr="009F73C1" w:rsidRDefault="008553C7" w:rsidP="009F73C1">
            <w:pPr>
              <w:pStyle w:val="Tabletext"/>
              <w:ind w:right="340"/>
              <w:jc w:val="right"/>
            </w:pPr>
            <w:r>
              <w:t>21.6</w:t>
            </w:r>
          </w:p>
        </w:tc>
        <w:tc>
          <w:tcPr>
            <w:tcW w:w="625" w:type="pct"/>
            <w:tcBorders>
              <w:top w:val="nil"/>
              <w:left w:val="single" w:sz="4" w:space="0" w:color="7F7F7F"/>
              <w:bottom w:val="nil"/>
              <w:right w:val="single" w:sz="4" w:space="0" w:color="7F7F7F"/>
              <w:tl2br w:val="nil"/>
              <w:tr2bl w:val="nil"/>
            </w:tcBorders>
            <w:shd w:val="clear" w:color="auto" w:fill="C2D8EA"/>
            <w:vAlign w:val="bottom"/>
          </w:tcPr>
          <w:p w:rsidR="00383B99" w:rsidRPr="00383B99" w:rsidRDefault="008553C7" w:rsidP="00383B99">
            <w:pPr>
              <w:pStyle w:val="Tabletext"/>
              <w:ind w:right="340"/>
              <w:jc w:val="right"/>
            </w:pPr>
            <w:r>
              <w:t>19.</w:t>
            </w:r>
            <w:r w:rsidR="009E4743">
              <w:t>3</w:t>
            </w:r>
          </w:p>
        </w:tc>
        <w:tc>
          <w:tcPr>
            <w:tcW w:w="625" w:type="pct"/>
            <w:tcBorders>
              <w:top w:val="nil"/>
              <w:left w:val="single" w:sz="4" w:space="0" w:color="7F7F7F"/>
              <w:bottom w:val="nil"/>
              <w:right w:val="single" w:sz="4" w:space="0" w:color="7F7F7F"/>
              <w:tl2br w:val="nil"/>
              <w:tr2bl w:val="nil"/>
            </w:tcBorders>
            <w:shd w:val="clear" w:color="auto" w:fill="C2D8EA"/>
          </w:tcPr>
          <w:p w:rsidR="00383B99" w:rsidRDefault="009E4743" w:rsidP="008553C7">
            <w:pPr>
              <w:pStyle w:val="Tabletext"/>
              <w:ind w:right="340"/>
              <w:jc w:val="right"/>
            </w:pPr>
            <w:r>
              <w:t>21</w:t>
            </w:r>
            <w:r w:rsidR="008553C7">
              <w:t>.8</w:t>
            </w:r>
          </w:p>
        </w:tc>
        <w:tc>
          <w:tcPr>
            <w:tcW w:w="625" w:type="pct"/>
            <w:tcBorders>
              <w:top w:val="nil"/>
              <w:left w:val="single" w:sz="4" w:space="0" w:color="7F7F7F"/>
              <w:bottom w:val="nil"/>
              <w:right w:val="single" w:sz="4" w:space="0" w:color="7F7F7F"/>
              <w:tl2br w:val="nil"/>
              <w:tr2bl w:val="nil"/>
            </w:tcBorders>
            <w:shd w:val="clear" w:color="auto" w:fill="C2D8EA"/>
          </w:tcPr>
          <w:p w:rsidR="00383B99" w:rsidRPr="00383B99" w:rsidRDefault="008553C7" w:rsidP="00383B99">
            <w:pPr>
              <w:pStyle w:val="Tabletext"/>
              <w:ind w:right="340"/>
              <w:jc w:val="right"/>
            </w:pPr>
            <w:r>
              <w:t>-</w:t>
            </w:r>
          </w:p>
        </w:tc>
        <w:tc>
          <w:tcPr>
            <w:tcW w:w="625" w:type="pct"/>
            <w:tcBorders>
              <w:top w:val="nil"/>
              <w:left w:val="single" w:sz="4" w:space="0" w:color="7F7F7F"/>
              <w:bottom w:val="nil"/>
              <w:right w:val="single" w:sz="4" w:space="0" w:color="7F7F7F"/>
              <w:tl2br w:val="nil"/>
              <w:tr2bl w:val="nil"/>
            </w:tcBorders>
            <w:shd w:val="clear" w:color="auto" w:fill="C2D8EA"/>
          </w:tcPr>
          <w:p w:rsidR="00383B99" w:rsidRDefault="008553C7" w:rsidP="006368F9">
            <w:pPr>
              <w:pStyle w:val="Tabletext"/>
              <w:ind w:right="340"/>
              <w:jc w:val="right"/>
            </w:pPr>
            <w:r>
              <w:t>-</w:t>
            </w:r>
          </w:p>
        </w:tc>
        <w:tc>
          <w:tcPr>
            <w:tcW w:w="624" w:type="pct"/>
            <w:tcBorders>
              <w:top w:val="nil"/>
              <w:left w:val="single" w:sz="4" w:space="0" w:color="7F7F7F"/>
              <w:bottom w:val="nil"/>
              <w:right w:val="single" w:sz="4" w:space="0" w:color="7F7F7F"/>
              <w:tl2br w:val="nil"/>
              <w:tr2bl w:val="nil"/>
            </w:tcBorders>
            <w:shd w:val="clear" w:color="auto" w:fill="C2D8EA"/>
          </w:tcPr>
          <w:p w:rsidR="00383B99" w:rsidRPr="00383B99" w:rsidRDefault="008553C7" w:rsidP="00383B99">
            <w:pPr>
              <w:pStyle w:val="Tabletext"/>
              <w:ind w:right="340"/>
              <w:jc w:val="right"/>
            </w:pPr>
            <w:r>
              <w:t>-</w:t>
            </w:r>
          </w:p>
        </w:tc>
      </w:tr>
      <w:tr w:rsidR="00383B99" w:rsidTr="00383B99">
        <w:tc>
          <w:tcPr>
            <w:tcW w:w="1251" w:type="pct"/>
            <w:tcBorders>
              <w:top w:val="nil"/>
              <w:left w:val="single" w:sz="4" w:space="0" w:color="7F7F7F"/>
              <w:bottom w:val="nil"/>
              <w:right w:val="single" w:sz="4" w:space="0" w:color="7F7F7F"/>
              <w:tl2br w:val="nil"/>
              <w:tr2bl w:val="nil"/>
            </w:tcBorders>
          </w:tcPr>
          <w:p w:rsidR="00383B99" w:rsidRDefault="00383B99" w:rsidP="006711D7">
            <w:pPr>
              <w:pStyle w:val="Tabletext"/>
            </w:pPr>
            <w:proofErr w:type="spellStart"/>
            <w:r>
              <w:t>Pasifika</w:t>
            </w:r>
            <w:proofErr w:type="spellEnd"/>
          </w:p>
        </w:tc>
        <w:tc>
          <w:tcPr>
            <w:tcW w:w="625" w:type="pct"/>
            <w:tcBorders>
              <w:top w:val="nil"/>
              <w:left w:val="single" w:sz="4" w:space="0" w:color="7F7F7F"/>
              <w:bottom w:val="nil"/>
              <w:right w:val="single" w:sz="4" w:space="0" w:color="7F7F7F"/>
              <w:tl2br w:val="nil"/>
              <w:tr2bl w:val="nil"/>
            </w:tcBorders>
          </w:tcPr>
          <w:p w:rsidR="00383B99" w:rsidRPr="009F73C1" w:rsidRDefault="008553C7" w:rsidP="009F73C1">
            <w:pPr>
              <w:pStyle w:val="Tabletext"/>
              <w:ind w:right="340"/>
              <w:jc w:val="right"/>
            </w:pPr>
            <w:r>
              <w:t>6.0</w:t>
            </w:r>
          </w:p>
        </w:tc>
        <w:tc>
          <w:tcPr>
            <w:tcW w:w="625" w:type="pct"/>
            <w:tcBorders>
              <w:top w:val="nil"/>
              <w:left w:val="single" w:sz="4" w:space="0" w:color="7F7F7F"/>
              <w:bottom w:val="nil"/>
              <w:right w:val="single" w:sz="4" w:space="0" w:color="7F7F7F"/>
              <w:tl2br w:val="nil"/>
              <w:tr2bl w:val="nil"/>
            </w:tcBorders>
            <w:vAlign w:val="bottom"/>
          </w:tcPr>
          <w:p w:rsidR="00383B99" w:rsidRPr="00383B99" w:rsidRDefault="008553C7" w:rsidP="00383B99">
            <w:pPr>
              <w:pStyle w:val="Tabletext"/>
              <w:ind w:right="340"/>
              <w:jc w:val="right"/>
            </w:pPr>
            <w:r>
              <w:t>7.</w:t>
            </w:r>
            <w:r w:rsidR="009E4743">
              <w:t>1</w:t>
            </w:r>
          </w:p>
        </w:tc>
        <w:tc>
          <w:tcPr>
            <w:tcW w:w="625" w:type="pct"/>
            <w:tcBorders>
              <w:top w:val="nil"/>
              <w:left w:val="single" w:sz="4" w:space="0" w:color="7F7F7F"/>
              <w:bottom w:val="nil"/>
              <w:right w:val="single" w:sz="4" w:space="0" w:color="7F7F7F"/>
              <w:tl2br w:val="nil"/>
              <w:tr2bl w:val="nil"/>
            </w:tcBorders>
          </w:tcPr>
          <w:p w:rsidR="00383B99" w:rsidRDefault="009E4743" w:rsidP="009F73C1">
            <w:pPr>
              <w:pStyle w:val="Tabletext"/>
              <w:ind w:right="340"/>
              <w:jc w:val="right"/>
            </w:pPr>
            <w:r>
              <w:t>9.5</w:t>
            </w:r>
          </w:p>
        </w:tc>
        <w:tc>
          <w:tcPr>
            <w:tcW w:w="625" w:type="pct"/>
            <w:tcBorders>
              <w:top w:val="nil"/>
              <w:left w:val="single" w:sz="4" w:space="0" w:color="7F7F7F"/>
              <w:bottom w:val="nil"/>
              <w:right w:val="single" w:sz="4" w:space="0" w:color="7F7F7F"/>
              <w:tl2br w:val="nil"/>
              <w:tr2bl w:val="nil"/>
            </w:tcBorders>
          </w:tcPr>
          <w:p w:rsidR="00383B99" w:rsidRPr="00383B99" w:rsidRDefault="008553C7" w:rsidP="00383B99">
            <w:pPr>
              <w:pStyle w:val="Tabletext"/>
              <w:ind w:right="340"/>
              <w:jc w:val="right"/>
            </w:pPr>
            <w:r>
              <w:t>3.0</w:t>
            </w:r>
          </w:p>
        </w:tc>
        <w:tc>
          <w:tcPr>
            <w:tcW w:w="625" w:type="pct"/>
            <w:tcBorders>
              <w:top w:val="nil"/>
              <w:left w:val="single" w:sz="4" w:space="0" w:color="7F7F7F"/>
              <w:bottom w:val="nil"/>
              <w:right w:val="single" w:sz="4" w:space="0" w:color="7F7F7F"/>
              <w:tl2br w:val="nil"/>
              <w:tr2bl w:val="nil"/>
            </w:tcBorders>
          </w:tcPr>
          <w:p w:rsidR="00383B99" w:rsidRDefault="008553C7" w:rsidP="006368F9">
            <w:pPr>
              <w:pStyle w:val="Tabletext"/>
              <w:ind w:right="340"/>
              <w:jc w:val="right"/>
            </w:pPr>
            <w:r>
              <w:t>4.2</w:t>
            </w:r>
          </w:p>
        </w:tc>
        <w:tc>
          <w:tcPr>
            <w:tcW w:w="624" w:type="pct"/>
            <w:tcBorders>
              <w:top w:val="nil"/>
              <w:left w:val="single" w:sz="4" w:space="0" w:color="7F7F7F"/>
              <w:bottom w:val="nil"/>
              <w:right w:val="single" w:sz="4" w:space="0" w:color="7F7F7F"/>
              <w:tl2br w:val="nil"/>
              <w:tr2bl w:val="nil"/>
            </w:tcBorders>
          </w:tcPr>
          <w:p w:rsidR="00383B99" w:rsidRPr="00383B99" w:rsidRDefault="008553C7" w:rsidP="00383B99">
            <w:pPr>
              <w:pStyle w:val="Tabletext"/>
              <w:ind w:right="340"/>
              <w:jc w:val="right"/>
            </w:pPr>
            <w:r>
              <w:t>3.7</w:t>
            </w:r>
          </w:p>
        </w:tc>
      </w:tr>
      <w:tr w:rsidR="00383B99" w:rsidTr="00383B99">
        <w:tc>
          <w:tcPr>
            <w:tcW w:w="1251" w:type="pct"/>
            <w:tcBorders>
              <w:top w:val="nil"/>
              <w:left w:val="single" w:sz="4" w:space="0" w:color="7F7F7F"/>
              <w:bottom w:val="nil"/>
              <w:right w:val="single" w:sz="4" w:space="0" w:color="7F7F7F"/>
              <w:tl2br w:val="nil"/>
              <w:tr2bl w:val="nil"/>
            </w:tcBorders>
            <w:shd w:val="clear" w:color="auto" w:fill="C2D8EA"/>
          </w:tcPr>
          <w:p w:rsidR="00383B99" w:rsidRDefault="00383B99" w:rsidP="006711D7">
            <w:pPr>
              <w:pStyle w:val="Tabletext"/>
            </w:pPr>
            <w:r>
              <w:t>Asians</w:t>
            </w:r>
          </w:p>
        </w:tc>
        <w:tc>
          <w:tcPr>
            <w:tcW w:w="625" w:type="pct"/>
            <w:tcBorders>
              <w:top w:val="nil"/>
              <w:left w:val="single" w:sz="4" w:space="0" w:color="7F7F7F"/>
              <w:bottom w:val="nil"/>
              <w:right w:val="single" w:sz="4" w:space="0" w:color="7F7F7F"/>
              <w:tl2br w:val="nil"/>
              <w:tr2bl w:val="nil"/>
            </w:tcBorders>
            <w:shd w:val="clear" w:color="auto" w:fill="C2D8EA"/>
          </w:tcPr>
          <w:p w:rsidR="00383B99" w:rsidRPr="009F73C1" w:rsidRDefault="008553C7" w:rsidP="008553C7">
            <w:pPr>
              <w:pStyle w:val="Tabletext"/>
              <w:ind w:right="340"/>
              <w:jc w:val="right"/>
            </w:pPr>
            <w:r>
              <w:t>10</w:t>
            </w:r>
            <w:r w:rsidR="00383B99" w:rsidRPr="009F73C1">
              <w:t>.</w:t>
            </w:r>
            <w:r>
              <w:t>8</w:t>
            </w:r>
          </w:p>
        </w:tc>
        <w:tc>
          <w:tcPr>
            <w:tcW w:w="625" w:type="pct"/>
            <w:tcBorders>
              <w:top w:val="nil"/>
              <w:left w:val="single" w:sz="4" w:space="0" w:color="7F7F7F"/>
              <w:bottom w:val="nil"/>
              <w:right w:val="single" w:sz="4" w:space="0" w:color="7F7F7F"/>
              <w:tl2br w:val="nil"/>
              <w:tr2bl w:val="nil"/>
            </w:tcBorders>
            <w:shd w:val="clear" w:color="auto" w:fill="C2D8EA"/>
            <w:vAlign w:val="bottom"/>
          </w:tcPr>
          <w:p w:rsidR="00383B99" w:rsidRPr="00383B99" w:rsidRDefault="008553C7" w:rsidP="00383B99">
            <w:pPr>
              <w:pStyle w:val="Tabletext"/>
              <w:ind w:right="340"/>
              <w:jc w:val="right"/>
            </w:pPr>
            <w:r>
              <w:t>12.</w:t>
            </w:r>
            <w:r w:rsidR="009E4743">
              <w:t>2</w:t>
            </w:r>
          </w:p>
        </w:tc>
        <w:tc>
          <w:tcPr>
            <w:tcW w:w="625" w:type="pct"/>
            <w:tcBorders>
              <w:top w:val="nil"/>
              <w:left w:val="single" w:sz="4" w:space="0" w:color="7F7F7F"/>
              <w:bottom w:val="nil"/>
              <w:right w:val="single" w:sz="4" w:space="0" w:color="7F7F7F"/>
              <w:tl2br w:val="nil"/>
              <w:tr2bl w:val="nil"/>
            </w:tcBorders>
            <w:shd w:val="clear" w:color="auto" w:fill="C2D8EA"/>
          </w:tcPr>
          <w:p w:rsidR="00383B99" w:rsidRDefault="009E4743" w:rsidP="009F73C1">
            <w:pPr>
              <w:pStyle w:val="Tabletext"/>
              <w:ind w:right="340"/>
              <w:jc w:val="right"/>
            </w:pPr>
            <w:r>
              <w:t>12.8</w:t>
            </w:r>
          </w:p>
        </w:tc>
        <w:tc>
          <w:tcPr>
            <w:tcW w:w="625" w:type="pct"/>
            <w:tcBorders>
              <w:top w:val="nil"/>
              <w:left w:val="single" w:sz="4" w:space="0" w:color="7F7F7F"/>
              <w:bottom w:val="nil"/>
              <w:right w:val="single" w:sz="4" w:space="0" w:color="7F7F7F"/>
              <w:tl2br w:val="nil"/>
              <w:tr2bl w:val="nil"/>
            </w:tcBorders>
            <w:shd w:val="clear" w:color="auto" w:fill="C2D8EA"/>
          </w:tcPr>
          <w:p w:rsidR="00383B99" w:rsidRPr="00383B99" w:rsidRDefault="008553C7" w:rsidP="00383B99">
            <w:pPr>
              <w:pStyle w:val="Tabletext"/>
              <w:ind w:right="340"/>
              <w:jc w:val="right"/>
            </w:pPr>
            <w:r>
              <w:t>74.3</w:t>
            </w:r>
          </w:p>
        </w:tc>
        <w:tc>
          <w:tcPr>
            <w:tcW w:w="625" w:type="pct"/>
            <w:tcBorders>
              <w:top w:val="nil"/>
              <w:left w:val="single" w:sz="4" w:space="0" w:color="7F7F7F"/>
              <w:bottom w:val="nil"/>
              <w:right w:val="single" w:sz="4" w:space="0" w:color="7F7F7F"/>
              <w:tl2br w:val="nil"/>
              <w:tr2bl w:val="nil"/>
            </w:tcBorders>
            <w:shd w:val="clear" w:color="auto" w:fill="C2D8EA"/>
          </w:tcPr>
          <w:p w:rsidR="00383B99" w:rsidRDefault="008553C7" w:rsidP="006368F9">
            <w:pPr>
              <w:pStyle w:val="Tabletext"/>
              <w:ind w:right="340"/>
              <w:jc w:val="right"/>
            </w:pPr>
            <w:r>
              <w:t>65.7</w:t>
            </w:r>
          </w:p>
        </w:tc>
        <w:tc>
          <w:tcPr>
            <w:tcW w:w="624" w:type="pct"/>
            <w:tcBorders>
              <w:top w:val="nil"/>
              <w:left w:val="single" w:sz="4" w:space="0" w:color="7F7F7F"/>
              <w:bottom w:val="nil"/>
              <w:right w:val="single" w:sz="4" w:space="0" w:color="7F7F7F"/>
              <w:tl2br w:val="nil"/>
              <w:tr2bl w:val="nil"/>
            </w:tcBorders>
            <w:shd w:val="clear" w:color="auto" w:fill="C2D8EA"/>
          </w:tcPr>
          <w:p w:rsidR="00383B99" w:rsidRPr="00383B99" w:rsidRDefault="008553C7" w:rsidP="00383B99">
            <w:pPr>
              <w:pStyle w:val="Tabletext"/>
              <w:ind w:right="340"/>
              <w:jc w:val="right"/>
            </w:pPr>
            <w:r>
              <w:t>68</w:t>
            </w:r>
            <w:r w:rsidR="00383B99" w:rsidRPr="00383B99">
              <w:t>.</w:t>
            </w:r>
            <w:r w:rsidR="00383B99">
              <w:t>9</w:t>
            </w:r>
          </w:p>
        </w:tc>
      </w:tr>
      <w:tr w:rsidR="00383B99" w:rsidTr="00383B99">
        <w:tc>
          <w:tcPr>
            <w:tcW w:w="1251" w:type="pct"/>
            <w:tcBorders>
              <w:top w:val="nil"/>
              <w:left w:val="single" w:sz="4" w:space="0" w:color="7F7F7F"/>
              <w:bottom w:val="single" w:sz="4" w:space="0" w:color="7F7F7F"/>
              <w:right w:val="single" w:sz="4" w:space="0" w:color="7F7F7F"/>
              <w:tl2br w:val="nil"/>
              <w:tr2bl w:val="nil"/>
            </w:tcBorders>
          </w:tcPr>
          <w:p w:rsidR="00383B99" w:rsidRDefault="00383B99" w:rsidP="006711D7">
            <w:pPr>
              <w:pStyle w:val="Tabletext"/>
            </w:pPr>
            <w:r>
              <w:t>Other</w:t>
            </w:r>
          </w:p>
        </w:tc>
        <w:tc>
          <w:tcPr>
            <w:tcW w:w="625" w:type="pct"/>
            <w:tcBorders>
              <w:top w:val="nil"/>
              <w:left w:val="single" w:sz="4" w:space="0" w:color="7F7F7F"/>
              <w:bottom w:val="single" w:sz="4" w:space="0" w:color="7F7F7F"/>
              <w:right w:val="single" w:sz="4" w:space="0" w:color="7F7F7F"/>
              <w:tl2br w:val="nil"/>
              <w:tr2bl w:val="nil"/>
            </w:tcBorders>
          </w:tcPr>
          <w:p w:rsidR="00383B99" w:rsidRPr="009F73C1" w:rsidRDefault="008553C7" w:rsidP="009F73C1">
            <w:pPr>
              <w:pStyle w:val="Tabletext"/>
              <w:ind w:right="340"/>
              <w:jc w:val="right"/>
            </w:pPr>
            <w:r>
              <w:t>8.1</w:t>
            </w:r>
          </w:p>
        </w:tc>
        <w:tc>
          <w:tcPr>
            <w:tcW w:w="625" w:type="pct"/>
            <w:tcBorders>
              <w:top w:val="nil"/>
              <w:left w:val="single" w:sz="4" w:space="0" w:color="7F7F7F"/>
              <w:bottom w:val="single" w:sz="4" w:space="0" w:color="7F7F7F"/>
              <w:right w:val="single" w:sz="4" w:space="0" w:color="7F7F7F"/>
              <w:tl2br w:val="nil"/>
              <w:tr2bl w:val="nil"/>
            </w:tcBorders>
            <w:vAlign w:val="bottom"/>
          </w:tcPr>
          <w:p w:rsidR="00383B99" w:rsidRPr="00383B99" w:rsidRDefault="00383B99" w:rsidP="008553C7">
            <w:pPr>
              <w:pStyle w:val="Tabletext"/>
              <w:ind w:right="340"/>
              <w:jc w:val="right"/>
            </w:pPr>
            <w:r w:rsidRPr="00383B99">
              <w:t>4.</w:t>
            </w:r>
            <w:r w:rsidR="008553C7">
              <w:t>4</w:t>
            </w:r>
          </w:p>
        </w:tc>
        <w:tc>
          <w:tcPr>
            <w:tcW w:w="625" w:type="pct"/>
            <w:tcBorders>
              <w:top w:val="nil"/>
              <w:left w:val="single" w:sz="4" w:space="0" w:color="7F7F7F"/>
              <w:bottom w:val="single" w:sz="4" w:space="0" w:color="7F7F7F"/>
              <w:right w:val="single" w:sz="4" w:space="0" w:color="7F7F7F"/>
              <w:tl2br w:val="nil"/>
              <w:tr2bl w:val="nil"/>
            </w:tcBorders>
          </w:tcPr>
          <w:p w:rsidR="00383B99" w:rsidRDefault="008553C7" w:rsidP="009F73C1">
            <w:pPr>
              <w:pStyle w:val="Tabletext"/>
              <w:ind w:right="340"/>
              <w:jc w:val="right"/>
            </w:pPr>
            <w:r>
              <w:t>4.8</w:t>
            </w:r>
          </w:p>
        </w:tc>
        <w:tc>
          <w:tcPr>
            <w:tcW w:w="625" w:type="pct"/>
            <w:tcBorders>
              <w:top w:val="nil"/>
              <w:left w:val="single" w:sz="4" w:space="0" w:color="7F7F7F"/>
              <w:bottom w:val="single" w:sz="4" w:space="0" w:color="7F7F7F"/>
              <w:right w:val="single" w:sz="4" w:space="0" w:color="7F7F7F"/>
              <w:tl2br w:val="nil"/>
              <w:tr2bl w:val="nil"/>
            </w:tcBorders>
          </w:tcPr>
          <w:p w:rsidR="00383B99" w:rsidRPr="00383B99" w:rsidRDefault="008553C7" w:rsidP="00383B99">
            <w:pPr>
              <w:pStyle w:val="Tabletext"/>
              <w:ind w:right="340"/>
              <w:jc w:val="right"/>
            </w:pPr>
            <w:r>
              <w:t>13.2</w:t>
            </w:r>
          </w:p>
        </w:tc>
        <w:tc>
          <w:tcPr>
            <w:tcW w:w="625" w:type="pct"/>
            <w:tcBorders>
              <w:top w:val="nil"/>
              <w:left w:val="single" w:sz="4" w:space="0" w:color="7F7F7F"/>
              <w:bottom w:val="single" w:sz="4" w:space="0" w:color="7F7F7F"/>
              <w:right w:val="single" w:sz="4" w:space="0" w:color="7F7F7F"/>
              <w:tl2br w:val="nil"/>
              <w:tr2bl w:val="nil"/>
            </w:tcBorders>
          </w:tcPr>
          <w:p w:rsidR="00383B99" w:rsidRDefault="008553C7" w:rsidP="006368F9">
            <w:pPr>
              <w:pStyle w:val="Tabletext"/>
              <w:ind w:right="340"/>
              <w:jc w:val="right"/>
            </w:pPr>
            <w:r>
              <w:t>11.1</w:t>
            </w:r>
          </w:p>
        </w:tc>
        <w:tc>
          <w:tcPr>
            <w:tcW w:w="624" w:type="pct"/>
            <w:tcBorders>
              <w:top w:val="nil"/>
              <w:left w:val="single" w:sz="4" w:space="0" w:color="7F7F7F"/>
              <w:bottom w:val="single" w:sz="4" w:space="0" w:color="7F7F7F"/>
              <w:right w:val="single" w:sz="4" w:space="0" w:color="7F7F7F"/>
              <w:tl2br w:val="nil"/>
              <w:tr2bl w:val="nil"/>
            </w:tcBorders>
          </w:tcPr>
          <w:p w:rsidR="008553C7" w:rsidRPr="00383B99" w:rsidRDefault="008553C7" w:rsidP="008553C7">
            <w:pPr>
              <w:pStyle w:val="Tabletext"/>
              <w:ind w:right="340"/>
              <w:jc w:val="right"/>
            </w:pPr>
            <w:r>
              <w:t>13.4</w:t>
            </w:r>
          </w:p>
        </w:tc>
      </w:tr>
    </w:tbl>
    <w:p w:rsidR="006711D7" w:rsidRDefault="00C022F2" w:rsidP="009D7FC7">
      <w:pPr>
        <w:pStyle w:val="Note"/>
      </w:pPr>
      <w:r>
        <w:t>Note:  Students may be</w:t>
      </w:r>
      <w:r w:rsidR="006711D7">
        <w:t xml:space="preserve"> counted in </w:t>
      </w:r>
      <w:r>
        <w:t>more than one</w:t>
      </w:r>
      <w:r w:rsidR="00830A18">
        <w:t xml:space="preserve"> ethnic group</w:t>
      </w:r>
      <w:r w:rsidR="006711D7">
        <w:t>.</w:t>
      </w:r>
    </w:p>
    <w:p w:rsidR="00D87F18" w:rsidRDefault="00E72FD2" w:rsidP="00A140A7">
      <w:pPr>
        <w:pStyle w:val="Heading2"/>
        <w:spacing w:before="480"/>
        <w:rPr>
          <w:lang w:val="en-US"/>
        </w:rPr>
      </w:pPr>
      <w:bookmarkStart w:id="53" w:name="_Toc383697363"/>
      <w:r>
        <w:rPr>
          <w:lang w:val="en-US"/>
        </w:rPr>
        <w:t>Tertiary education p</w:t>
      </w:r>
      <w:r w:rsidR="00D87F18">
        <w:rPr>
          <w:lang w:val="en-US"/>
        </w:rPr>
        <w:t>articipation rates</w:t>
      </w:r>
      <w:r w:rsidR="00F043AA">
        <w:rPr>
          <w:lang w:val="en-US"/>
        </w:rPr>
        <w:t xml:space="preserve"> by ethnic group</w:t>
      </w:r>
      <w:bookmarkEnd w:id="53"/>
    </w:p>
    <w:p w:rsidR="00F043AA" w:rsidRDefault="006779DB" w:rsidP="00A140A7">
      <w:pPr>
        <w:pStyle w:val="BodyText"/>
        <w:rPr>
          <w:lang w:val="en-US"/>
        </w:rPr>
      </w:pPr>
      <w:r>
        <w:rPr>
          <w:lang w:val="en-US"/>
        </w:rPr>
        <w:t>The different age distributions of the</w:t>
      </w:r>
      <w:r w:rsidR="00D87F18">
        <w:rPr>
          <w:lang w:val="en-US"/>
        </w:rPr>
        <w:t xml:space="preserve"> ethnic </w:t>
      </w:r>
      <w:r>
        <w:rPr>
          <w:lang w:val="en-US"/>
        </w:rPr>
        <w:t xml:space="preserve">groups cause </w:t>
      </w:r>
      <w:r w:rsidR="0083259C">
        <w:rPr>
          <w:lang w:val="en-US"/>
        </w:rPr>
        <w:t>their</w:t>
      </w:r>
      <w:r>
        <w:rPr>
          <w:lang w:val="en-US"/>
        </w:rPr>
        <w:t xml:space="preserve"> patterns of participation in tertiary education</w:t>
      </w:r>
      <w:r w:rsidR="0083259C">
        <w:rPr>
          <w:lang w:val="en-US"/>
        </w:rPr>
        <w:t xml:space="preserve"> to vary</w:t>
      </w:r>
      <w:r>
        <w:rPr>
          <w:lang w:val="en-US"/>
        </w:rPr>
        <w:t xml:space="preserve">. To </w:t>
      </w:r>
      <w:r w:rsidR="0083259C">
        <w:rPr>
          <w:lang w:val="en-US"/>
        </w:rPr>
        <w:t>allow</w:t>
      </w:r>
      <w:r>
        <w:rPr>
          <w:lang w:val="en-US"/>
        </w:rPr>
        <w:t xml:space="preserve"> comparisons</w:t>
      </w:r>
      <w:r w:rsidR="006D4B00">
        <w:rPr>
          <w:lang w:val="en-US"/>
        </w:rPr>
        <w:t xml:space="preserve"> </w:t>
      </w:r>
      <w:r w:rsidR="0083259C">
        <w:rPr>
          <w:lang w:val="en-US"/>
        </w:rPr>
        <w:t>to be made</w:t>
      </w:r>
      <w:r w:rsidR="006D4B00">
        <w:rPr>
          <w:lang w:val="en-US"/>
        </w:rPr>
        <w:t xml:space="preserve">, </w:t>
      </w:r>
      <w:r w:rsidR="00335B33">
        <w:rPr>
          <w:lang w:val="en-US"/>
        </w:rPr>
        <w:t xml:space="preserve">the tertiary education </w:t>
      </w:r>
      <w:r w:rsidR="00F043AA">
        <w:rPr>
          <w:lang w:val="en-US"/>
        </w:rPr>
        <w:t xml:space="preserve">participation rates can be age-adjusted </w:t>
      </w:r>
      <w:r w:rsidR="00A55BA7">
        <w:rPr>
          <w:lang w:val="en-US"/>
        </w:rPr>
        <w:t>to eliminate</w:t>
      </w:r>
      <w:r>
        <w:rPr>
          <w:lang w:val="en-US"/>
        </w:rPr>
        <w:t xml:space="preserve"> </w:t>
      </w:r>
      <w:r w:rsidR="00EF1F2B">
        <w:rPr>
          <w:lang w:val="en-US"/>
        </w:rPr>
        <w:t xml:space="preserve">the </w:t>
      </w:r>
      <w:r w:rsidR="0093689B">
        <w:rPr>
          <w:lang w:val="en-US"/>
        </w:rPr>
        <w:t>effect of the different age distributions of the ethnic groups</w:t>
      </w:r>
      <w:r>
        <w:rPr>
          <w:lang w:val="en-US"/>
        </w:rPr>
        <w:t>.</w:t>
      </w:r>
    </w:p>
    <w:p w:rsidR="00F043AA" w:rsidRDefault="00F043AA" w:rsidP="00A140A7">
      <w:pPr>
        <w:pStyle w:val="BodyText"/>
        <w:rPr>
          <w:lang w:val="en-US"/>
        </w:rPr>
      </w:pPr>
      <w:r>
        <w:rPr>
          <w:lang w:val="en-US"/>
        </w:rPr>
        <w:t xml:space="preserve">The process of age adjustment used here </w:t>
      </w:r>
      <w:proofErr w:type="spellStart"/>
      <w:r w:rsidR="0093689B">
        <w:rPr>
          <w:lang w:val="en-US"/>
        </w:rPr>
        <w:t>standardis</w:t>
      </w:r>
      <w:r w:rsidR="00F55DE7">
        <w:rPr>
          <w:lang w:val="en-US"/>
        </w:rPr>
        <w:t>es</w:t>
      </w:r>
      <w:proofErr w:type="spellEnd"/>
      <w:r w:rsidR="00F55DE7">
        <w:rPr>
          <w:lang w:val="en-US"/>
        </w:rPr>
        <w:t xml:space="preserve"> the proportion for each age</w:t>
      </w:r>
      <w:r>
        <w:rPr>
          <w:lang w:val="en-US"/>
        </w:rPr>
        <w:t xml:space="preserve"> </w:t>
      </w:r>
      <w:r w:rsidR="00F55DE7">
        <w:rPr>
          <w:lang w:val="en-US"/>
        </w:rPr>
        <w:t xml:space="preserve">in the </w:t>
      </w:r>
      <w:r>
        <w:rPr>
          <w:lang w:val="en-US"/>
        </w:rPr>
        <w:t>ethnic group</w:t>
      </w:r>
      <w:r w:rsidR="00F55DE7">
        <w:rPr>
          <w:lang w:val="en-US"/>
        </w:rPr>
        <w:t>, aligning it to the proportion for each age in the whole population</w:t>
      </w:r>
      <w:r>
        <w:rPr>
          <w:lang w:val="en-US"/>
        </w:rPr>
        <w:t>.</w:t>
      </w:r>
      <w:r w:rsidR="00A55BA7">
        <w:rPr>
          <w:rStyle w:val="FootnoteReference"/>
          <w:lang w:val="en-US"/>
        </w:rPr>
        <w:footnoteReference w:id="13"/>
      </w:r>
      <w:r w:rsidR="00335B33">
        <w:rPr>
          <w:lang w:val="en-US"/>
        </w:rPr>
        <w:t xml:space="preserve"> </w:t>
      </w:r>
      <w:r>
        <w:rPr>
          <w:lang w:val="en-US"/>
        </w:rPr>
        <w:t xml:space="preserve"> This means that the overall rates for each ethnic group are based on the same age structure, that is, the age structure of the total New Zealand population. </w:t>
      </w:r>
      <w:r w:rsidR="00335B33">
        <w:rPr>
          <w:lang w:val="en-US"/>
        </w:rPr>
        <w:t xml:space="preserve"> </w:t>
      </w:r>
      <w:r w:rsidR="000D2C56">
        <w:rPr>
          <w:lang w:val="en-US"/>
        </w:rPr>
        <w:t xml:space="preserve">This means that if a group has a very high percentage of young people, this is not a </w:t>
      </w:r>
      <w:r w:rsidR="0093689B">
        <w:rPr>
          <w:lang w:val="en-US"/>
        </w:rPr>
        <w:t>distorting</w:t>
      </w:r>
      <w:r w:rsidR="000D2C56">
        <w:rPr>
          <w:lang w:val="en-US"/>
        </w:rPr>
        <w:t xml:space="preserve"> factor when we compare them with other groups. </w:t>
      </w:r>
      <w:r w:rsidR="00FA634A">
        <w:rPr>
          <w:lang w:val="en-US"/>
        </w:rPr>
        <w:t xml:space="preserve">These </w:t>
      </w:r>
      <w:r w:rsidR="00E309A4">
        <w:rPr>
          <w:lang w:val="en-US"/>
        </w:rPr>
        <w:t xml:space="preserve">overall </w:t>
      </w:r>
      <w:r w:rsidR="00FA634A">
        <w:rPr>
          <w:lang w:val="en-US"/>
        </w:rPr>
        <w:t>r</w:t>
      </w:r>
      <w:r>
        <w:rPr>
          <w:lang w:val="en-US"/>
        </w:rPr>
        <w:t>ates</w:t>
      </w:r>
      <w:r w:rsidR="00335B33">
        <w:rPr>
          <w:lang w:val="en-US"/>
        </w:rPr>
        <w:t>,</w:t>
      </w:r>
      <w:r>
        <w:rPr>
          <w:lang w:val="en-US"/>
        </w:rPr>
        <w:t xml:space="preserve"> </w:t>
      </w:r>
      <w:r w:rsidR="00FA634A">
        <w:rPr>
          <w:lang w:val="en-US"/>
        </w:rPr>
        <w:t>which</w:t>
      </w:r>
      <w:r>
        <w:rPr>
          <w:lang w:val="en-US"/>
        </w:rPr>
        <w:t xml:space="preserve"> are based on the same age distribution</w:t>
      </w:r>
      <w:r w:rsidR="00335B33">
        <w:rPr>
          <w:lang w:val="en-US"/>
        </w:rPr>
        <w:t>,</w:t>
      </w:r>
      <w:r>
        <w:rPr>
          <w:lang w:val="en-US"/>
        </w:rPr>
        <w:t xml:space="preserve"> can </w:t>
      </w:r>
      <w:r w:rsidR="00335B33">
        <w:rPr>
          <w:lang w:val="en-US"/>
        </w:rPr>
        <w:t>then be compared with</w:t>
      </w:r>
      <w:r>
        <w:rPr>
          <w:lang w:val="en-US"/>
        </w:rPr>
        <w:t xml:space="preserve"> each other without the presence of confounding by age.</w:t>
      </w:r>
    </w:p>
    <w:p w:rsidR="00FB6EEF" w:rsidRDefault="00FB6EEF" w:rsidP="009E1CAD">
      <w:pPr>
        <w:pStyle w:val="BodyText"/>
        <w:rPr>
          <w:lang w:val="en-US"/>
        </w:rPr>
      </w:pPr>
      <w:r>
        <w:rPr>
          <w:lang w:val="en-US"/>
        </w:rPr>
        <w:lastRenderedPageBreak/>
        <w:t xml:space="preserve">Before the downward trend in non-degree enrolments </w:t>
      </w:r>
      <w:r w:rsidR="005114AE">
        <w:rPr>
          <w:lang w:val="en-US"/>
        </w:rPr>
        <w:t xml:space="preserve">which </w:t>
      </w:r>
      <w:r>
        <w:rPr>
          <w:lang w:val="en-US"/>
        </w:rPr>
        <w:t>started in 2005</w:t>
      </w:r>
      <w:r w:rsidR="00E309A4">
        <w:rPr>
          <w:lang w:val="en-US"/>
        </w:rPr>
        <w:t>,</w:t>
      </w:r>
      <w:r w:rsidR="001A2FD5">
        <w:rPr>
          <w:lang w:val="en-US"/>
        </w:rPr>
        <w:t xml:space="preserve"> the age-adjusted</w:t>
      </w:r>
      <w:r w:rsidR="00972D76">
        <w:rPr>
          <w:lang w:val="en-US"/>
        </w:rPr>
        <w:t xml:space="preserve"> participation rates of New Zealanders</w:t>
      </w:r>
      <w:r w:rsidR="0021721D">
        <w:rPr>
          <w:lang w:val="en-US"/>
        </w:rPr>
        <w:t xml:space="preserve"> </w:t>
      </w:r>
      <w:r w:rsidR="00757DBE">
        <w:rPr>
          <w:lang w:val="en-US"/>
        </w:rPr>
        <w:t>had been increasing</w:t>
      </w:r>
      <w:r w:rsidR="0021721D">
        <w:rPr>
          <w:lang w:val="en-US"/>
        </w:rPr>
        <w:t xml:space="preserve"> for </w:t>
      </w:r>
      <w:r>
        <w:rPr>
          <w:lang w:val="en-US"/>
        </w:rPr>
        <w:t>all</w:t>
      </w:r>
      <w:r w:rsidR="0021721D">
        <w:rPr>
          <w:lang w:val="en-US"/>
        </w:rPr>
        <w:t xml:space="preserve"> </w:t>
      </w:r>
      <w:r w:rsidR="00972D76">
        <w:rPr>
          <w:lang w:val="en-US"/>
        </w:rPr>
        <w:t>ethnic groups</w:t>
      </w:r>
      <w:r>
        <w:rPr>
          <w:lang w:val="en-US"/>
        </w:rPr>
        <w:t>. From 2001 to 2005, the tertiary education participation rate increased by 5.5 percent</w:t>
      </w:r>
      <w:r w:rsidR="002648C7">
        <w:rPr>
          <w:lang w:val="en-US"/>
        </w:rPr>
        <w:t>age points</w:t>
      </w:r>
      <w:r>
        <w:rPr>
          <w:lang w:val="en-US"/>
        </w:rPr>
        <w:t xml:space="preserve"> for </w:t>
      </w:r>
      <w:proofErr w:type="spellStart"/>
      <w:r>
        <w:rPr>
          <w:lang w:val="en-US"/>
        </w:rPr>
        <w:t>Māori</w:t>
      </w:r>
      <w:proofErr w:type="spellEnd"/>
      <w:r w:rsidR="004C16F8">
        <w:rPr>
          <w:lang w:val="en-US"/>
        </w:rPr>
        <w:t xml:space="preserve"> to 19</w:t>
      </w:r>
      <w:r w:rsidR="006A61D7">
        <w:rPr>
          <w:lang w:val="en-US"/>
        </w:rPr>
        <w:t xml:space="preserve"> </w:t>
      </w:r>
      <w:r w:rsidR="00F663B6">
        <w:rPr>
          <w:lang w:val="en-US"/>
        </w:rPr>
        <w:t>percent;</w:t>
      </w:r>
      <w:r w:rsidR="006A61D7">
        <w:rPr>
          <w:lang w:val="en-US"/>
        </w:rPr>
        <w:t xml:space="preserve"> by 4.9</w:t>
      </w:r>
      <w:r>
        <w:rPr>
          <w:lang w:val="en-US"/>
        </w:rPr>
        <w:t xml:space="preserve"> percent</w:t>
      </w:r>
      <w:r w:rsidR="002648C7">
        <w:rPr>
          <w:lang w:val="en-US"/>
        </w:rPr>
        <w:t>age points</w:t>
      </w:r>
      <w:r>
        <w:rPr>
          <w:lang w:val="en-US"/>
        </w:rPr>
        <w:t xml:space="preserve"> for Asians</w:t>
      </w:r>
      <w:r w:rsidR="004C16F8">
        <w:rPr>
          <w:lang w:val="en-US"/>
        </w:rPr>
        <w:t xml:space="preserve"> to 16</w:t>
      </w:r>
      <w:r w:rsidR="00F663B6">
        <w:rPr>
          <w:lang w:val="en-US"/>
        </w:rPr>
        <w:t xml:space="preserve"> percent; </w:t>
      </w:r>
      <w:r>
        <w:rPr>
          <w:lang w:val="en-US"/>
        </w:rPr>
        <w:t>by 3.6 percent</w:t>
      </w:r>
      <w:r w:rsidR="002648C7">
        <w:rPr>
          <w:lang w:val="en-US"/>
        </w:rPr>
        <w:t>age points</w:t>
      </w:r>
      <w:r>
        <w:rPr>
          <w:lang w:val="en-US"/>
        </w:rPr>
        <w:t xml:space="preserve"> for </w:t>
      </w:r>
      <w:proofErr w:type="spellStart"/>
      <w:r>
        <w:rPr>
          <w:lang w:val="en-US"/>
        </w:rPr>
        <w:t>Pasifika</w:t>
      </w:r>
      <w:proofErr w:type="spellEnd"/>
      <w:r w:rsidR="004C16F8">
        <w:rPr>
          <w:lang w:val="en-US"/>
        </w:rPr>
        <w:t xml:space="preserve"> to 12</w:t>
      </w:r>
      <w:r w:rsidR="00F663B6">
        <w:rPr>
          <w:lang w:val="en-US"/>
        </w:rPr>
        <w:t xml:space="preserve"> percent;</w:t>
      </w:r>
      <w:r>
        <w:rPr>
          <w:lang w:val="en-US"/>
        </w:rPr>
        <w:t xml:space="preserve"> and 2.</w:t>
      </w:r>
      <w:r w:rsidR="006A61D7">
        <w:rPr>
          <w:lang w:val="en-US"/>
        </w:rPr>
        <w:t>1</w:t>
      </w:r>
      <w:r>
        <w:rPr>
          <w:lang w:val="en-US"/>
        </w:rPr>
        <w:t xml:space="preserve"> percent</w:t>
      </w:r>
      <w:r w:rsidR="002648C7">
        <w:rPr>
          <w:lang w:val="en-US"/>
        </w:rPr>
        <w:t>age points</w:t>
      </w:r>
      <w:r>
        <w:rPr>
          <w:lang w:val="en-US"/>
        </w:rPr>
        <w:t xml:space="preserve"> for European</w:t>
      </w:r>
      <w:r w:rsidR="00972D76">
        <w:rPr>
          <w:lang w:val="en-US"/>
        </w:rPr>
        <w:t>s</w:t>
      </w:r>
      <w:r w:rsidR="004C16F8">
        <w:rPr>
          <w:lang w:val="en-US"/>
        </w:rPr>
        <w:t xml:space="preserve"> to 12</w:t>
      </w:r>
      <w:r w:rsidR="00F663B6">
        <w:rPr>
          <w:lang w:val="en-US"/>
        </w:rPr>
        <w:t xml:space="preserve"> percent</w:t>
      </w:r>
      <w:r>
        <w:rPr>
          <w:lang w:val="en-US"/>
        </w:rPr>
        <w:t>.</w:t>
      </w:r>
    </w:p>
    <w:p w:rsidR="00F663B6" w:rsidRDefault="00757DBE" w:rsidP="009E1CAD">
      <w:pPr>
        <w:pStyle w:val="BodyText"/>
        <w:rPr>
          <w:lang w:val="en-US"/>
        </w:rPr>
      </w:pPr>
      <w:r>
        <w:rPr>
          <w:lang w:val="en-US"/>
        </w:rPr>
        <w:t>As a result of</w:t>
      </w:r>
      <w:r w:rsidR="00BE40D5">
        <w:rPr>
          <w:lang w:val="en-US"/>
        </w:rPr>
        <w:t xml:space="preserve"> the downward trend in non-degree enrolments</w:t>
      </w:r>
      <w:r w:rsidR="005114AE">
        <w:rPr>
          <w:lang w:val="en-US"/>
        </w:rPr>
        <w:t xml:space="preserve"> from 2005 to </w:t>
      </w:r>
      <w:r w:rsidR="00D605CB">
        <w:rPr>
          <w:lang w:val="en-US"/>
        </w:rPr>
        <w:t>2013</w:t>
      </w:r>
      <w:r w:rsidR="00BE40D5">
        <w:rPr>
          <w:lang w:val="en-US"/>
        </w:rPr>
        <w:t xml:space="preserve">, the age-adjusted participation rates of New Zealanders decreased </w:t>
      </w:r>
      <w:r w:rsidR="005114AE">
        <w:rPr>
          <w:lang w:val="en-US"/>
        </w:rPr>
        <w:t>among all ethnic groups. Over this period, t</w:t>
      </w:r>
      <w:r w:rsidR="00BE40D5">
        <w:rPr>
          <w:lang w:val="en-US"/>
        </w:rPr>
        <w:t xml:space="preserve">he tertiary education participation rate decreased </w:t>
      </w:r>
      <w:r w:rsidR="005114AE">
        <w:rPr>
          <w:lang w:val="en-US"/>
        </w:rPr>
        <w:t xml:space="preserve">overall </w:t>
      </w:r>
      <w:r w:rsidR="006A61D7">
        <w:rPr>
          <w:lang w:val="en-US"/>
        </w:rPr>
        <w:t>by 6.5</w:t>
      </w:r>
      <w:r w:rsidR="00BE40D5">
        <w:rPr>
          <w:lang w:val="en-US"/>
        </w:rPr>
        <w:t xml:space="preserve"> percent</w:t>
      </w:r>
      <w:r w:rsidR="002648C7">
        <w:rPr>
          <w:lang w:val="en-US"/>
        </w:rPr>
        <w:t>age points</w:t>
      </w:r>
      <w:r w:rsidR="00BE40D5">
        <w:rPr>
          <w:lang w:val="en-US"/>
        </w:rPr>
        <w:t xml:space="preserve"> for Asians</w:t>
      </w:r>
      <w:r w:rsidR="006A61D7">
        <w:rPr>
          <w:lang w:val="en-US"/>
        </w:rPr>
        <w:t xml:space="preserve"> to 9.1</w:t>
      </w:r>
      <w:r w:rsidR="00610295">
        <w:rPr>
          <w:lang w:val="en-US"/>
        </w:rPr>
        <w:t xml:space="preserve"> percent;</w:t>
      </w:r>
      <w:r w:rsidR="006A61D7">
        <w:rPr>
          <w:lang w:val="en-US"/>
        </w:rPr>
        <w:t xml:space="preserve"> by 4.5</w:t>
      </w:r>
      <w:r w:rsidR="00BE40D5">
        <w:rPr>
          <w:lang w:val="en-US"/>
        </w:rPr>
        <w:t xml:space="preserve"> percent</w:t>
      </w:r>
      <w:r w:rsidR="002648C7">
        <w:rPr>
          <w:lang w:val="en-US"/>
        </w:rPr>
        <w:t>age points</w:t>
      </w:r>
      <w:r w:rsidR="00BE40D5">
        <w:rPr>
          <w:lang w:val="en-US"/>
        </w:rPr>
        <w:t xml:space="preserve"> for </w:t>
      </w:r>
      <w:proofErr w:type="spellStart"/>
      <w:r w:rsidR="00BE40D5">
        <w:rPr>
          <w:lang w:val="en-US"/>
        </w:rPr>
        <w:t>Māori</w:t>
      </w:r>
      <w:proofErr w:type="spellEnd"/>
      <w:r w:rsidR="004C16F8">
        <w:rPr>
          <w:lang w:val="en-US"/>
        </w:rPr>
        <w:t xml:space="preserve"> to 15</w:t>
      </w:r>
      <w:r w:rsidR="00610295">
        <w:rPr>
          <w:lang w:val="en-US"/>
        </w:rPr>
        <w:t xml:space="preserve"> percent;</w:t>
      </w:r>
      <w:r w:rsidR="006A61D7">
        <w:rPr>
          <w:lang w:val="en-US"/>
        </w:rPr>
        <w:t xml:space="preserve"> by 2.8</w:t>
      </w:r>
      <w:r w:rsidR="00BE40D5">
        <w:rPr>
          <w:lang w:val="en-US"/>
        </w:rPr>
        <w:t xml:space="preserve"> percent</w:t>
      </w:r>
      <w:r w:rsidR="002648C7">
        <w:rPr>
          <w:lang w:val="en-US"/>
        </w:rPr>
        <w:t>age points</w:t>
      </w:r>
      <w:r w:rsidR="00BE40D5">
        <w:rPr>
          <w:lang w:val="en-US"/>
        </w:rPr>
        <w:t xml:space="preserve"> for Europeans</w:t>
      </w:r>
      <w:r w:rsidR="003E27B8">
        <w:rPr>
          <w:lang w:val="en-US"/>
        </w:rPr>
        <w:t xml:space="preserve"> to 9.4</w:t>
      </w:r>
      <w:r w:rsidR="00610295">
        <w:rPr>
          <w:lang w:val="en-US"/>
        </w:rPr>
        <w:t xml:space="preserve"> percent;</w:t>
      </w:r>
      <w:r w:rsidR="003E27B8">
        <w:rPr>
          <w:lang w:val="en-US"/>
        </w:rPr>
        <w:t xml:space="preserve"> and by 0.8</w:t>
      </w:r>
      <w:r w:rsidR="00BE40D5">
        <w:rPr>
          <w:lang w:val="en-US"/>
        </w:rPr>
        <w:t xml:space="preserve"> percent</w:t>
      </w:r>
      <w:r w:rsidR="002648C7">
        <w:rPr>
          <w:lang w:val="en-US"/>
        </w:rPr>
        <w:t>age points</w:t>
      </w:r>
      <w:r w:rsidR="00BE40D5">
        <w:rPr>
          <w:lang w:val="en-US"/>
        </w:rPr>
        <w:t xml:space="preserve"> for </w:t>
      </w:r>
      <w:proofErr w:type="spellStart"/>
      <w:r w:rsidR="00BE40D5">
        <w:rPr>
          <w:lang w:val="en-US"/>
        </w:rPr>
        <w:t>Pasifika</w:t>
      </w:r>
      <w:proofErr w:type="spellEnd"/>
      <w:r w:rsidR="00610295">
        <w:rPr>
          <w:lang w:val="en-US"/>
        </w:rPr>
        <w:t xml:space="preserve"> to </w:t>
      </w:r>
      <w:r w:rsidR="004C16F8">
        <w:rPr>
          <w:lang w:val="en-US"/>
        </w:rPr>
        <w:t>12</w:t>
      </w:r>
      <w:r w:rsidR="00610295">
        <w:rPr>
          <w:lang w:val="en-US"/>
        </w:rPr>
        <w:t xml:space="preserve"> percent</w:t>
      </w:r>
      <w:r w:rsidR="00BE40D5">
        <w:rPr>
          <w:lang w:val="en-US"/>
        </w:rPr>
        <w:t>.</w:t>
      </w:r>
    </w:p>
    <w:p w:rsidR="00BE40D5" w:rsidRDefault="00BB2F89" w:rsidP="009E1CAD">
      <w:pPr>
        <w:pStyle w:val="BodyText"/>
        <w:rPr>
          <w:lang w:val="en-US"/>
        </w:rPr>
      </w:pPr>
      <w:r>
        <w:rPr>
          <w:lang w:val="en-US"/>
        </w:rPr>
        <w:t>On the other hand</w:t>
      </w:r>
      <w:r w:rsidR="00F107BC">
        <w:rPr>
          <w:lang w:val="en-US"/>
        </w:rPr>
        <w:t xml:space="preserve">, the </w:t>
      </w:r>
      <w:r w:rsidR="00E74126">
        <w:rPr>
          <w:lang w:val="en-US"/>
        </w:rPr>
        <w:t xml:space="preserve">age-adjusted </w:t>
      </w:r>
      <w:r w:rsidR="00F107BC">
        <w:rPr>
          <w:lang w:val="en-US"/>
        </w:rPr>
        <w:t>participation rate in degree and higher qualifications increased</w:t>
      </w:r>
      <w:r w:rsidR="002044B1">
        <w:rPr>
          <w:lang w:val="en-US"/>
        </w:rPr>
        <w:t xml:space="preserve"> </w:t>
      </w:r>
      <w:r w:rsidR="002648C7">
        <w:rPr>
          <w:lang w:val="en-US"/>
        </w:rPr>
        <w:t xml:space="preserve">from </w:t>
      </w:r>
      <w:r w:rsidR="00D605CB">
        <w:rPr>
          <w:lang w:val="en-US"/>
        </w:rPr>
        <w:t>2003</w:t>
      </w:r>
      <w:r w:rsidR="002648C7">
        <w:rPr>
          <w:lang w:val="en-US"/>
        </w:rPr>
        <w:t xml:space="preserve"> to </w:t>
      </w:r>
      <w:r w:rsidR="00D605CB">
        <w:rPr>
          <w:lang w:val="en-US"/>
        </w:rPr>
        <w:t>2013</w:t>
      </w:r>
      <w:r w:rsidR="002648C7">
        <w:rPr>
          <w:lang w:val="en-US"/>
        </w:rPr>
        <w:t xml:space="preserve"> for </w:t>
      </w:r>
      <w:r w:rsidR="003E27B8">
        <w:rPr>
          <w:lang w:val="en-US"/>
        </w:rPr>
        <w:t xml:space="preserve">all </w:t>
      </w:r>
      <w:r w:rsidR="00517F63">
        <w:rPr>
          <w:lang w:val="en-US"/>
        </w:rPr>
        <w:t>the main</w:t>
      </w:r>
      <w:r w:rsidR="002648C7">
        <w:rPr>
          <w:lang w:val="en-US"/>
        </w:rPr>
        <w:t xml:space="preserve"> </w:t>
      </w:r>
      <w:r w:rsidR="00F663B6">
        <w:rPr>
          <w:lang w:val="en-US"/>
        </w:rPr>
        <w:t xml:space="preserve">ethnic groups </w:t>
      </w:r>
      <w:r w:rsidR="003E27B8">
        <w:rPr>
          <w:lang w:val="en-US"/>
        </w:rPr>
        <w:t>except Asian</w:t>
      </w:r>
      <w:r w:rsidR="005114AE" w:rsidRPr="002648C7">
        <w:rPr>
          <w:lang w:val="en-US"/>
        </w:rPr>
        <w:t xml:space="preserve">s </w:t>
      </w:r>
      <w:r w:rsidR="003E27B8">
        <w:rPr>
          <w:lang w:val="en-US"/>
        </w:rPr>
        <w:t>who</w:t>
      </w:r>
      <w:r w:rsidR="00B15FF3">
        <w:rPr>
          <w:lang w:val="en-US"/>
        </w:rPr>
        <w:t>se</w:t>
      </w:r>
      <w:r w:rsidR="003E27B8">
        <w:rPr>
          <w:lang w:val="en-US"/>
        </w:rPr>
        <w:t xml:space="preserve"> rate decreased </w:t>
      </w:r>
      <w:r w:rsidR="00823559">
        <w:rPr>
          <w:lang w:val="en-US"/>
        </w:rPr>
        <w:t>by 0</w:t>
      </w:r>
      <w:r w:rsidR="002648C7" w:rsidRPr="002648C7">
        <w:rPr>
          <w:lang w:val="en-US"/>
        </w:rPr>
        <w:t>.2 percent</w:t>
      </w:r>
      <w:r w:rsidR="002648C7">
        <w:rPr>
          <w:lang w:val="en-US"/>
        </w:rPr>
        <w:t>age points</w:t>
      </w:r>
      <w:r w:rsidR="003E27B8">
        <w:rPr>
          <w:lang w:val="en-US"/>
        </w:rPr>
        <w:t xml:space="preserve"> to 5.9</w:t>
      </w:r>
      <w:r w:rsidR="002648C7" w:rsidRPr="002648C7">
        <w:rPr>
          <w:lang w:val="en-US"/>
        </w:rPr>
        <w:t xml:space="preserve"> percent</w:t>
      </w:r>
      <w:r w:rsidR="003E27B8">
        <w:rPr>
          <w:lang w:val="en-US"/>
        </w:rPr>
        <w:t>. The increases in the participation rate in degree and higher qualifications for the main ethnic groups were:</w:t>
      </w:r>
      <w:r w:rsidR="002648C7">
        <w:rPr>
          <w:lang w:val="en-US"/>
        </w:rPr>
        <w:t xml:space="preserve"> </w:t>
      </w:r>
      <w:proofErr w:type="spellStart"/>
      <w:r w:rsidR="005114AE">
        <w:rPr>
          <w:lang w:val="en-US"/>
        </w:rPr>
        <w:t>Pasifika</w:t>
      </w:r>
      <w:proofErr w:type="spellEnd"/>
      <w:r w:rsidR="005114AE">
        <w:rPr>
          <w:lang w:val="en-US"/>
        </w:rPr>
        <w:t xml:space="preserve"> </w:t>
      </w:r>
      <w:r w:rsidR="00517F63">
        <w:rPr>
          <w:lang w:val="en-US"/>
        </w:rPr>
        <w:t xml:space="preserve">up </w:t>
      </w:r>
      <w:r w:rsidR="003E27B8">
        <w:rPr>
          <w:lang w:val="en-US"/>
        </w:rPr>
        <w:t>by 1.0</w:t>
      </w:r>
      <w:r w:rsidR="002648C7">
        <w:rPr>
          <w:lang w:val="en-US"/>
        </w:rPr>
        <w:t xml:space="preserve"> percentage points </w:t>
      </w:r>
      <w:r w:rsidR="003E27B8">
        <w:rPr>
          <w:lang w:val="en-US"/>
        </w:rPr>
        <w:t>to 4.1</w:t>
      </w:r>
      <w:r w:rsidR="005114AE">
        <w:rPr>
          <w:lang w:val="en-US"/>
        </w:rPr>
        <w:t xml:space="preserve"> percent; </w:t>
      </w:r>
      <w:proofErr w:type="spellStart"/>
      <w:r w:rsidR="005114AE">
        <w:rPr>
          <w:lang w:val="en-US"/>
        </w:rPr>
        <w:t>Māori</w:t>
      </w:r>
      <w:proofErr w:type="spellEnd"/>
      <w:r w:rsidR="005114AE">
        <w:rPr>
          <w:lang w:val="en-US"/>
        </w:rPr>
        <w:t xml:space="preserve"> </w:t>
      </w:r>
      <w:r w:rsidR="00517F63">
        <w:rPr>
          <w:lang w:val="en-US"/>
        </w:rPr>
        <w:t xml:space="preserve">up </w:t>
      </w:r>
      <w:r w:rsidR="005114AE">
        <w:rPr>
          <w:lang w:val="en-US"/>
        </w:rPr>
        <w:t>by 0.</w:t>
      </w:r>
      <w:r w:rsidR="003E27B8">
        <w:rPr>
          <w:lang w:val="en-US"/>
        </w:rPr>
        <w:t>2</w:t>
      </w:r>
      <w:r w:rsidR="002648C7">
        <w:rPr>
          <w:lang w:val="en-US"/>
        </w:rPr>
        <w:t xml:space="preserve"> percentage </w:t>
      </w:r>
      <w:r w:rsidR="003E27B8">
        <w:rPr>
          <w:lang w:val="en-US"/>
        </w:rPr>
        <w:t>points to 4.0</w:t>
      </w:r>
      <w:r w:rsidR="005114AE">
        <w:rPr>
          <w:lang w:val="en-US"/>
        </w:rPr>
        <w:t xml:space="preserve"> percent; and </w:t>
      </w:r>
      <w:r w:rsidR="00517F63">
        <w:rPr>
          <w:lang w:val="en-US"/>
        </w:rPr>
        <w:t>the</w:t>
      </w:r>
      <w:r w:rsidR="005114AE">
        <w:rPr>
          <w:lang w:val="en-US"/>
        </w:rPr>
        <w:t xml:space="preserve"> </w:t>
      </w:r>
      <w:r w:rsidR="003E27B8">
        <w:rPr>
          <w:lang w:val="en-US"/>
        </w:rPr>
        <w:t>Europeans</w:t>
      </w:r>
      <w:r w:rsidR="00517F63">
        <w:rPr>
          <w:lang w:val="en-US"/>
        </w:rPr>
        <w:t xml:space="preserve"> up</w:t>
      </w:r>
      <w:r w:rsidR="00823559">
        <w:rPr>
          <w:lang w:val="en-US"/>
        </w:rPr>
        <w:t xml:space="preserve"> by 0.3</w:t>
      </w:r>
      <w:r w:rsidR="002648C7">
        <w:rPr>
          <w:lang w:val="en-US"/>
        </w:rPr>
        <w:t xml:space="preserve"> percentage points</w:t>
      </w:r>
      <w:r w:rsidR="005114AE">
        <w:rPr>
          <w:lang w:val="en-US"/>
        </w:rPr>
        <w:t xml:space="preserve"> </w:t>
      </w:r>
      <w:r w:rsidR="003E27B8">
        <w:rPr>
          <w:lang w:val="en-US"/>
        </w:rPr>
        <w:t>to 5.0</w:t>
      </w:r>
      <w:r w:rsidR="002648C7">
        <w:rPr>
          <w:lang w:val="en-US"/>
        </w:rPr>
        <w:t xml:space="preserve"> percent.</w:t>
      </w:r>
    </w:p>
    <w:p w:rsidR="008F1940" w:rsidRDefault="008F1940" w:rsidP="008F1940">
      <w:pPr>
        <w:pStyle w:val="Heading2"/>
        <w:spacing w:before="480"/>
      </w:pPr>
      <w:bookmarkStart w:id="54" w:name="_Toc383697364"/>
      <w:r>
        <w:t xml:space="preserve">Tertiary education participation rate of people aged </w:t>
      </w:r>
      <w:r w:rsidR="00F256A9">
        <w:t xml:space="preserve">15 to </w:t>
      </w:r>
      <w:r>
        <w:t>24 y</w:t>
      </w:r>
      <w:r w:rsidR="00F256A9">
        <w:t>ears</w:t>
      </w:r>
      <w:r w:rsidR="003A1141">
        <w:t xml:space="preserve"> by ethnic group</w:t>
      </w:r>
      <w:bookmarkEnd w:id="54"/>
    </w:p>
    <w:p w:rsidR="008F1940" w:rsidRDefault="008F1940" w:rsidP="00A140A7">
      <w:pPr>
        <w:pStyle w:val="BodyText"/>
      </w:pPr>
      <w:r>
        <w:t>Looking now at the po</w:t>
      </w:r>
      <w:r w:rsidR="00BB2F89">
        <w:t>pulation aged 15 to 24 years, 29</w:t>
      </w:r>
      <w:r>
        <w:t xml:space="preserve"> percent of these New Zealanders participated in tertiary education in </w:t>
      </w:r>
      <w:r w:rsidR="00D605CB">
        <w:t>2013</w:t>
      </w:r>
      <w:r w:rsidR="00BB2F89">
        <w:t xml:space="preserve">. </w:t>
      </w:r>
      <w:r>
        <w:t>Ten years earlier</w:t>
      </w:r>
      <w:r w:rsidR="00B15FF3">
        <w:t xml:space="preserve">, in 2003, </w:t>
      </w:r>
      <w:r w:rsidR="008D71E8">
        <w:t>28 percent</w:t>
      </w:r>
      <w:r>
        <w:t xml:space="preserve"> participated in tertiary education.</w:t>
      </w:r>
      <w:r w:rsidR="000D2C56">
        <w:rPr>
          <w:rStyle w:val="FootnoteReference"/>
        </w:rPr>
        <w:footnoteReference w:id="14"/>
      </w:r>
    </w:p>
    <w:p w:rsidR="00F107BC" w:rsidRDefault="00897205" w:rsidP="009E1CAD">
      <w:pPr>
        <w:pStyle w:val="BodyText"/>
      </w:pPr>
      <w:r>
        <w:t>Over the last 10 years, d</w:t>
      </w:r>
      <w:r w:rsidR="00C61CF9">
        <w:t xml:space="preserve">ifferences in the </w:t>
      </w:r>
      <w:r>
        <w:t xml:space="preserve">rate of </w:t>
      </w:r>
      <w:r w:rsidR="00C61CF9">
        <w:t xml:space="preserve">participation in tertiary education </w:t>
      </w:r>
      <w:r>
        <w:t xml:space="preserve">have narrowed </w:t>
      </w:r>
      <w:r w:rsidR="00835D64">
        <w:t xml:space="preserve">substantially </w:t>
      </w:r>
      <w:r>
        <w:t>among the</w:t>
      </w:r>
      <w:r w:rsidR="00A867FD">
        <w:t xml:space="preserve"> ethnic groups for young people </w:t>
      </w:r>
      <w:r w:rsidR="00C61CF9">
        <w:t>(see</w:t>
      </w:r>
      <w:r w:rsidR="00835D64">
        <w:t xml:space="preserve"> </w:t>
      </w:r>
      <w:fldSimple w:instr=" REF _Ref323652499 \h  \* MERGEFORMAT ">
        <w:r w:rsidR="00375A85" w:rsidRPr="00375A85">
          <w:t>Table</w:t>
        </w:r>
        <w:r w:rsidR="00375A85" w:rsidRPr="00F107BC">
          <w:rPr>
            <w:b/>
          </w:rPr>
          <w:t xml:space="preserve"> </w:t>
        </w:r>
        <w:r w:rsidR="00375A85" w:rsidRPr="00375A85">
          <w:rPr>
            <w:noProof/>
          </w:rPr>
          <w:t>8.2</w:t>
        </w:r>
      </w:fldSimple>
      <w:r w:rsidR="00835D64">
        <w:t>)</w:t>
      </w:r>
      <w:r w:rsidR="00BB2F89">
        <w:t xml:space="preserve">. </w:t>
      </w:r>
      <w:r w:rsidR="00F256A9">
        <w:t xml:space="preserve">Of people aged 15 to 24 years, </w:t>
      </w:r>
      <w:r w:rsidR="00E174CB">
        <w:t xml:space="preserve">Europeans, </w:t>
      </w:r>
      <w:proofErr w:type="spellStart"/>
      <w:r w:rsidR="00E174CB">
        <w:t>Māori</w:t>
      </w:r>
      <w:proofErr w:type="spellEnd"/>
      <w:r w:rsidR="00E174CB">
        <w:t xml:space="preserve"> and </w:t>
      </w:r>
      <w:proofErr w:type="spellStart"/>
      <w:r w:rsidR="00E174CB">
        <w:t>Pasifika</w:t>
      </w:r>
      <w:proofErr w:type="spellEnd"/>
      <w:r w:rsidR="00E174CB">
        <w:t xml:space="preserve"> all</w:t>
      </w:r>
      <w:r w:rsidR="002E3CEC">
        <w:t xml:space="preserve"> </w:t>
      </w:r>
      <w:r w:rsidR="00F256A9">
        <w:t xml:space="preserve">had </w:t>
      </w:r>
      <w:r w:rsidR="00E174CB">
        <w:t>a</w:t>
      </w:r>
      <w:r w:rsidR="00F256A9">
        <w:t xml:space="preserve"> participation rate in tertiary education in </w:t>
      </w:r>
      <w:r w:rsidR="00D605CB">
        <w:t>2013</w:t>
      </w:r>
      <w:r w:rsidR="00E174CB">
        <w:t xml:space="preserve"> of</w:t>
      </w:r>
      <w:r w:rsidR="002E3CEC">
        <w:t xml:space="preserve"> 28 percent</w:t>
      </w:r>
      <w:r w:rsidR="00F256A9">
        <w:t>.</w:t>
      </w:r>
      <w:r w:rsidR="002E3CEC">
        <w:t xml:space="preserve"> </w:t>
      </w:r>
      <w:r w:rsidR="00E174CB">
        <w:t xml:space="preserve">This compared to 27 percent for the </w:t>
      </w:r>
      <w:r w:rsidR="00522757">
        <w:t>Asian ethnic group</w:t>
      </w:r>
      <w:r w:rsidR="00823559">
        <w:rPr>
          <w:lang w:val="en-US"/>
        </w:rPr>
        <w:t>.</w:t>
      </w:r>
      <w:r w:rsidR="008017BA">
        <w:rPr>
          <w:lang w:val="en-US"/>
        </w:rPr>
        <w:t xml:space="preserve">  </w:t>
      </w:r>
      <w:r w:rsidR="008017BA">
        <w:t>Although the overall participation rates are now similar</w:t>
      </w:r>
      <w:r w:rsidR="00E174CB">
        <w:t xml:space="preserve"> among the ethnic groups</w:t>
      </w:r>
      <w:r w:rsidR="008017BA">
        <w:t xml:space="preserve">, there are substantial differences </w:t>
      </w:r>
      <w:r w:rsidR="00035475">
        <w:t>between</w:t>
      </w:r>
      <w:r w:rsidR="008017BA">
        <w:t xml:space="preserve"> ethnic groups </w:t>
      </w:r>
      <w:r w:rsidR="00035475">
        <w:t>in the amount of participation in non-degree qualifications versus degree and higher qualifications</w:t>
      </w:r>
      <w:r w:rsidR="008017BA">
        <w:t>.</w:t>
      </w:r>
    </w:p>
    <w:p w:rsidR="005F6E88" w:rsidRDefault="00073194" w:rsidP="009E1CAD">
      <w:pPr>
        <w:pStyle w:val="BodyText"/>
      </w:pPr>
      <w:r>
        <w:t xml:space="preserve">Between </w:t>
      </w:r>
      <w:r w:rsidR="00D605CB">
        <w:t>2003</w:t>
      </w:r>
      <w:r w:rsidR="00BB2F89">
        <w:t xml:space="preserve"> and </w:t>
      </w:r>
      <w:r w:rsidR="00D605CB">
        <w:t>2013</w:t>
      </w:r>
      <w:r w:rsidR="00BB2F89">
        <w:t>, the tertia</w:t>
      </w:r>
      <w:r>
        <w:t xml:space="preserve">ry participation rate of young Asians </w:t>
      </w:r>
      <w:r w:rsidR="00BB2F89">
        <w:t>had the larges</w:t>
      </w:r>
      <w:r w:rsidR="00B4490E">
        <w:t>t increase, up by 6.4</w:t>
      </w:r>
      <w:r w:rsidR="008155A9">
        <w:t xml:space="preserve"> percentage points</w:t>
      </w:r>
      <w:r w:rsidR="005F6E88">
        <w:t xml:space="preserve">. This increase was due to higher participation rates for degree and </w:t>
      </w:r>
      <w:r w:rsidR="00B4490E">
        <w:t>higher qualifications, up by 6.9</w:t>
      </w:r>
      <w:r w:rsidR="005F6E88">
        <w:t xml:space="preserve"> percentage points</w:t>
      </w:r>
      <w:r w:rsidR="00835D64">
        <w:t xml:space="preserve"> to </w:t>
      </w:r>
      <w:r w:rsidR="008D2049">
        <w:t>22 percent</w:t>
      </w:r>
      <w:r w:rsidR="002648C7">
        <w:t xml:space="preserve">, </w:t>
      </w:r>
      <w:r w:rsidR="00823559">
        <w:t>and</w:t>
      </w:r>
      <w:r w:rsidR="005F6E88">
        <w:t xml:space="preserve"> lower participation rates for non-degree </w:t>
      </w:r>
      <w:r w:rsidR="00B4490E">
        <w:t>qualifications, down by 0.8</w:t>
      </w:r>
      <w:r w:rsidR="005F6E88">
        <w:t xml:space="preserve"> percentage points</w:t>
      </w:r>
      <w:r w:rsidR="008D2049">
        <w:t xml:space="preserve"> </w:t>
      </w:r>
      <w:r w:rsidR="005114AE">
        <w:t xml:space="preserve">to </w:t>
      </w:r>
      <w:r w:rsidR="00B4490E">
        <w:t>5.4</w:t>
      </w:r>
      <w:r w:rsidR="008D2049">
        <w:t xml:space="preserve"> percent</w:t>
      </w:r>
      <w:r w:rsidR="005F6E88">
        <w:t>.</w:t>
      </w:r>
    </w:p>
    <w:p w:rsidR="006E0B2C" w:rsidRDefault="00BB2F89" w:rsidP="009E1CAD">
      <w:pPr>
        <w:pStyle w:val="BodyText"/>
      </w:pPr>
      <w:r>
        <w:t xml:space="preserve">For young </w:t>
      </w:r>
      <w:proofErr w:type="spellStart"/>
      <w:r w:rsidR="00073194">
        <w:t>Pasifika</w:t>
      </w:r>
      <w:proofErr w:type="spellEnd"/>
      <w:r>
        <w:t>, the tertiary part</w:t>
      </w:r>
      <w:r w:rsidR="00B4490E">
        <w:t>icipation rate increased by 5</w:t>
      </w:r>
      <w:r w:rsidR="00073194">
        <w:t>.3</w:t>
      </w:r>
      <w:r w:rsidR="00035475">
        <w:t xml:space="preserve"> percentage points between </w:t>
      </w:r>
      <w:r w:rsidR="00D605CB">
        <w:t>2003</w:t>
      </w:r>
      <w:r>
        <w:t xml:space="preserve"> and </w:t>
      </w:r>
      <w:r w:rsidR="00D605CB">
        <w:t>2013</w:t>
      </w:r>
      <w:r>
        <w:t>.</w:t>
      </w:r>
      <w:r w:rsidR="006E0B2C">
        <w:t xml:space="preserve"> This increase was due to </w:t>
      </w:r>
      <w:r w:rsidR="00823559">
        <w:t>a larger increase in</w:t>
      </w:r>
      <w:r w:rsidR="006E0B2C">
        <w:t xml:space="preserve"> participation rates for degree and </w:t>
      </w:r>
      <w:r w:rsidR="00B4490E">
        <w:t>higher qualifications, up by 3.9</w:t>
      </w:r>
      <w:r w:rsidR="006E0B2C">
        <w:t xml:space="preserve"> percentage points</w:t>
      </w:r>
      <w:r w:rsidR="00B4490E">
        <w:t xml:space="preserve"> to 11</w:t>
      </w:r>
      <w:r w:rsidR="008D2049">
        <w:t xml:space="preserve"> percent</w:t>
      </w:r>
      <w:r w:rsidR="002648C7">
        <w:t>,</w:t>
      </w:r>
      <w:r w:rsidR="006E0B2C">
        <w:t xml:space="preserve"> and </w:t>
      </w:r>
      <w:r w:rsidR="00823559">
        <w:t xml:space="preserve">a smaller increase in </w:t>
      </w:r>
      <w:r w:rsidR="006E0B2C">
        <w:t>non-</w:t>
      </w:r>
      <w:r w:rsidR="00B4490E">
        <w:t>degree qualifications, up by 1.4</w:t>
      </w:r>
      <w:r w:rsidR="006E0B2C">
        <w:t xml:space="preserve"> percentage points</w:t>
      </w:r>
      <w:r w:rsidR="005114AE">
        <w:t xml:space="preserve"> to </w:t>
      </w:r>
      <w:r w:rsidR="00B4490E">
        <w:t>18</w:t>
      </w:r>
      <w:r w:rsidR="008D2049">
        <w:t xml:space="preserve"> percent</w:t>
      </w:r>
      <w:r w:rsidR="006E0B2C">
        <w:t>.</w:t>
      </w:r>
    </w:p>
    <w:p w:rsidR="00F27EF8" w:rsidRDefault="00BB2F89" w:rsidP="009E1CAD">
      <w:pPr>
        <w:pStyle w:val="BodyText"/>
      </w:pPr>
      <w:r>
        <w:t xml:space="preserve">For young Europeans, the tertiary participation rate </w:t>
      </w:r>
      <w:r w:rsidR="00B4490E">
        <w:t>increased by</w:t>
      </w:r>
      <w:r w:rsidR="009873EB">
        <w:t xml:space="preserve"> </w:t>
      </w:r>
      <w:r w:rsidR="00B4490E">
        <w:t>0.6 percentage points between</w:t>
      </w:r>
      <w:r w:rsidR="008155A9">
        <w:t xml:space="preserve"> </w:t>
      </w:r>
      <w:r w:rsidR="00C022F2">
        <w:t>200</w:t>
      </w:r>
      <w:r w:rsidR="00D605CB">
        <w:t>3</w:t>
      </w:r>
      <w:r w:rsidR="00C022F2">
        <w:t xml:space="preserve"> and</w:t>
      </w:r>
      <w:r w:rsidR="006E0B2C">
        <w:t xml:space="preserve"> </w:t>
      </w:r>
      <w:r w:rsidR="00C022F2">
        <w:t>201</w:t>
      </w:r>
      <w:r w:rsidR="00D605CB">
        <w:t>3</w:t>
      </w:r>
      <w:r w:rsidR="006E0B2C">
        <w:t xml:space="preserve">. </w:t>
      </w:r>
      <w:r>
        <w:t>This was due to higher participation rates for degree and higher qualifications</w:t>
      </w:r>
      <w:r w:rsidR="008155A9">
        <w:t>,</w:t>
      </w:r>
      <w:r>
        <w:t xml:space="preserve"> </w:t>
      </w:r>
      <w:r w:rsidR="006E0B2C">
        <w:t>up by</w:t>
      </w:r>
      <w:r>
        <w:t xml:space="preserve"> 2.</w:t>
      </w:r>
      <w:r w:rsidR="00B4490E">
        <w:t>6</w:t>
      </w:r>
      <w:r>
        <w:t xml:space="preserve"> percentage points</w:t>
      </w:r>
      <w:r w:rsidR="008D2049">
        <w:t xml:space="preserve"> </w:t>
      </w:r>
      <w:r w:rsidR="005114AE">
        <w:t xml:space="preserve">to </w:t>
      </w:r>
      <w:r w:rsidR="008D2049">
        <w:t>17 percent</w:t>
      </w:r>
      <w:r>
        <w:t xml:space="preserve">, </w:t>
      </w:r>
      <w:r w:rsidR="008155A9">
        <w:t>being</w:t>
      </w:r>
      <w:r>
        <w:t xml:space="preserve"> </w:t>
      </w:r>
      <w:r w:rsidR="00B4490E">
        <w:t xml:space="preserve">almost </w:t>
      </w:r>
      <w:r>
        <w:t xml:space="preserve">offset by lower participation rates for non-degree qualifications, down by </w:t>
      </w:r>
      <w:r w:rsidR="00B4490E">
        <w:t>2.1</w:t>
      </w:r>
      <w:r>
        <w:t xml:space="preserve"> percentage points</w:t>
      </w:r>
      <w:r w:rsidR="008D2049">
        <w:t xml:space="preserve"> to 11 percent</w:t>
      </w:r>
      <w:r>
        <w:t>.</w:t>
      </w:r>
    </w:p>
    <w:p w:rsidR="00BB2F89" w:rsidRDefault="00BB2F89" w:rsidP="00BB2F89">
      <w:pPr>
        <w:pStyle w:val="BodyText"/>
      </w:pPr>
      <w:r>
        <w:lastRenderedPageBreak/>
        <w:t xml:space="preserve">For young </w:t>
      </w:r>
      <w:proofErr w:type="spellStart"/>
      <w:r>
        <w:t>Māori</w:t>
      </w:r>
      <w:proofErr w:type="spellEnd"/>
      <w:r>
        <w:t>, the tertiary par</w:t>
      </w:r>
      <w:r w:rsidR="006E0B2C">
        <w:t xml:space="preserve">ticipation rate </w:t>
      </w:r>
      <w:r w:rsidR="00B4490E">
        <w:t>increased by 2.1</w:t>
      </w:r>
      <w:r w:rsidR="006E0B2C">
        <w:t xml:space="preserve"> percentage points between </w:t>
      </w:r>
      <w:r w:rsidR="00D605CB">
        <w:t>2003</w:t>
      </w:r>
      <w:r w:rsidR="006E0B2C">
        <w:t xml:space="preserve"> and </w:t>
      </w:r>
      <w:r w:rsidR="00D605CB">
        <w:t>2013</w:t>
      </w:r>
      <w:r w:rsidR="008F627F">
        <w:t>. This in</w:t>
      </w:r>
      <w:r>
        <w:t xml:space="preserve">crease was due </w:t>
      </w:r>
      <w:r w:rsidR="00B4490E">
        <w:t>to higher</w:t>
      </w:r>
      <w:r w:rsidR="008155A9">
        <w:t xml:space="preserve"> participation rates </w:t>
      </w:r>
      <w:r w:rsidR="00D82428">
        <w:t>for</w:t>
      </w:r>
      <w:r w:rsidR="00B4490E" w:rsidRPr="00B4490E">
        <w:t xml:space="preserve"> </w:t>
      </w:r>
      <w:r w:rsidR="00B4490E">
        <w:t xml:space="preserve">degree and higher </w:t>
      </w:r>
      <w:r w:rsidR="008A3B72">
        <w:t>qualifications;</w:t>
      </w:r>
      <w:r w:rsidR="008155A9">
        <w:t xml:space="preserve"> </w:t>
      </w:r>
      <w:r w:rsidR="00B4490E">
        <w:t>up</w:t>
      </w:r>
      <w:r w:rsidR="008155A9">
        <w:t xml:space="preserve"> by </w:t>
      </w:r>
      <w:r w:rsidR="00B4490E">
        <w:t>2.4</w:t>
      </w:r>
      <w:r w:rsidR="008155A9">
        <w:t xml:space="preserve"> percentage points</w:t>
      </w:r>
      <w:r w:rsidR="00B4490E">
        <w:t xml:space="preserve"> to </w:t>
      </w:r>
      <w:r w:rsidR="008D2049">
        <w:t>8</w:t>
      </w:r>
      <w:r w:rsidR="00B4490E">
        <w:t>.6</w:t>
      </w:r>
      <w:r w:rsidR="008D2049">
        <w:t xml:space="preserve"> percent,</w:t>
      </w:r>
      <w:r w:rsidR="008155A9">
        <w:t xml:space="preserve"> </w:t>
      </w:r>
      <w:r w:rsidR="00B4490E">
        <w:t>while</w:t>
      </w:r>
      <w:r w:rsidR="008155A9">
        <w:t xml:space="preserve"> participation</w:t>
      </w:r>
      <w:r w:rsidR="00B4490E">
        <w:t xml:space="preserve"> in non-degree qualifications remained at a similar level, reducing by 0.4</w:t>
      </w:r>
      <w:r>
        <w:t xml:space="preserve"> percentage points</w:t>
      </w:r>
      <w:r w:rsidR="00B4490E">
        <w:t xml:space="preserve"> to 20</w:t>
      </w:r>
      <w:r w:rsidR="008D2049">
        <w:t xml:space="preserve"> percent</w:t>
      </w:r>
      <w:r>
        <w:t>.</w:t>
      </w:r>
    </w:p>
    <w:p w:rsidR="00F107BC" w:rsidRPr="00F107BC" w:rsidRDefault="00F107BC" w:rsidP="00F107BC">
      <w:pPr>
        <w:pStyle w:val="Tablelabel"/>
        <w:spacing w:after="0"/>
        <w:rPr>
          <w:b/>
        </w:rPr>
      </w:pPr>
      <w:bookmarkStart w:id="55" w:name="_Toc384287876"/>
      <w:bookmarkStart w:id="56" w:name="_Ref323652499"/>
      <w:bookmarkStart w:id="57" w:name="_Ref352251826"/>
      <w:proofErr w:type="gramStart"/>
      <w:r w:rsidRPr="00F107BC">
        <w:rPr>
          <w:b/>
        </w:rPr>
        <w:t xml:space="preserve">Table </w:t>
      </w:r>
      <w:r w:rsidR="005B67D2">
        <w:rPr>
          <w:b/>
        </w:rPr>
        <w:fldChar w:fldCharType="begin"/>
      </w:r>
      <w:r w:rsidR="00174F22">
        <w:rPr>
          <w:b/>
        </w:rPr>
        <w:instrText xml:space="preserve"> STYLEREF 1 \s </w:instrText>
      </w:r>
      <w:r w:rsidR="005B67D2">
        <w:rPr>
          <w:b/>
        </w:rPr>
        <w:fldChar w:fldCharType="separate"/>
      </w:r>
      <w:r w:rsidR="00375A85">
        <w:rPr>
          <w:b/>
          <w:noProof/>
        </w:rPr>
        <w:t>8</w:t>
      </w:r>
      <w:r w:rsidR="005B67D2">
        <w:rPr>
          <w:b/>
        </w:rPr>
        <w:fldChar w:fldCharType="end"/>
      </w:r>
      <w:r w:rsidR="00174F22">
        <w:rPr>
          <w:b/>
        </w:rPr>
        <w:t>.</w:t>
      </w:r>
      <w:proofErr w:type="gramEnd"/>
      <w:r w:rsidR="005B67D2">
        <w:rPr>
          <w:b/>
        </w:rPr>
        <w:fldChar w:fldCharType="begin"/>
      </w:r>
      <w:r w:rsidR="00174F22">
        <w:rPr>
          <w:b/>
        </w:rPr>
        <w:instrText xml:space="preserve"> SEQ Table \* ARABIC \s 1 </w:instrText>
      </w:r>
      <w:r w:rsidR="005B67D2">
        <w:rPr>
          <w:b/>
        </w:rPr>
        <w:fldChar w:fldCharType="separate"/>
      </w:r>
      <w:r w:rsidR="00375A85">
        <w:rPr>
          <w:b/>
          <w:noProof/>
        </w:rPr>
        <w:t>2</w:t>
      </w:r>
      <w:bookmarkEnd w:id="55"/>
      <w:r w:rsidR="005B67D2">
        <w:rPr>
          <w:b/>
        </w:rPr>
        <w:fldChar w:fldCharType="end"/>
      </w:r>
      <w:bookmarkEnd w:id="56"/>
      <w:bookmarkEnd w:id="57"/>
    </w:p>
    <w:p w:rsidR="00F107BC" w:rsidRDefault="00F107BC" w:rsidP="00F107BC">
      <w:pPr>
        <w:pStyle w:val="Tablelabel"/>
      </w:pPr>
      <w:bookmarkStart w:id="58" w:name="_Toc384287877"/>
      <w:r>
        <w:t>Participation rates in provider-based formal tertiary education by ethnic group</w:t>
      </w:r>
      <w:bookmarkEnd w:id="58"/>
    </w:p>
    <w:tbl>
      <w:tblPr>
        <w:tblW w:w="5000" w:type="pct"/>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Look w:val="04A0"/>
      </w:tblPr>
      <w:tblGrid>
        <w:gridCol w:w="1138"/>
        <w:gridCol w:w="3745"/>
        <w:gridCol w:w="1246"/>
        <w:gridCol w:w="1246"/>
        <w:gridCol w:w="1243"/>
      </w:tblGrid>
      <w:tr w:rsidR="00F107BC" w:rsidTr="00F107BC">
        <w:tc>
          <w:tcPr>
            <w:tcW w:w="660" w:type="pct"/>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F107BC" w:rsidRDefault="00F107BC" w:rsidP="00F107BC">
            <w:pPr>
              <w:pStyle w:val="Tabletext"/>
              <w:jc w:val="center"/>
            </w:pPr>
          </w:p>
        </w:tc>
        <w:tc>
          <w:tcPr>
            <w:tcW w:w="2173" w:type="pct"/>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F107BC" w:rsidRDefault="00F107BC" w:rsidP="00F107BC">
            <w:pPr>
              <w:pStyle w:val="Tableheading"/>
            </w:pPr>
          </w:p>
        </w:tc>
        <w:tc>
          <w:tcPr>
            <w:tcW w:w="723" w:type="pct"/>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F107BC" w:rsidRPr="00BB22EA" w:rsidRDefault="00D605CB" w:rsidP="00F107BC">
            <w:pPr>
              <w:pStyle w:val="Tableheading"/>
            </w:pPr>
            <w:r>
              <w:t>2003</w:t>
            </w:r>
          </w:p>
        </w:tc>
        <w:tc>
          <w:tcPr>
            <w:tcW w:w="723" w:type="pct"/>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F107BC" w:rsidRPr="00BB22EA" w:rsidRDefault="00D605CB" w:rsidP="00F107BC">
            <w:pPr>
              <w:pStyle w:val="Tableheading"/>
            </w:pPr>
            <w:r>
              <w:t>2008</w:t>
            </w:r>
          </w:p>
        </w:tc>
        <w:tc>
          <w:tcPr>
            <w:tcW w:w="721" w:type="pct"/>
            <w:tcBorders>
              <w:top w:val="single" w:sz="4" w:space="0" w:color="7F7F7F"/>
              <w:left w:val="single" w:sz="4" w:space="0" w:color="7F7F7F"/>
              <w:bottom w:val="single" w:sz="4" w:space="0" w:color="7F7F7F"/>
              <w:right w:val="single" w:sz="4" w:space="0" w:color="7F7F7F"/>
              <w:tl2br w:val="nil"/>
              <w:tr2bl w:val="nil"/>
            </w:tcBorders>
            <w:shd w:val="clear" w:color="auto" w:fill="C2D8EA"/>
          </w:tcPr>
          <w:p w:rsidR="00F107BC" w:rsidRPr="00BB22EA" w:rsidRDefault="00D605CB" w:rsidP="00F107BC">
            <w:pPr>
              <w:pStyle w:val="Tableheading"/>
            </w:pPr>
            <w:r>
              <w:t>2013</w:t>
            </w:r>
          </w:p>
        </w:tc>
      </w:tr>
      <w:tr w:rsidR="00F107BC" w:rsidRPr="00BB22EA" w:rsidTr="00F107BC">
        <w:tc>
          <w:tcPr>
            <w:tcW w:w="660" w:type="pct"/>
            <w:tcBorders>
              <w:top w:val="nil"/>
              <w:left w:val="single" w:sz="4" w:space="0" w:color="7F7F7F"/>
              <w:bottom w:val="nil"/>
              <w:right w:val="single" w:sz="4" w:space="0" w:color="7F7F7F"/>
              <w:tl2br w:val="nil"/>
              <w:tr2bl w:val="nil"/>
            </w:tcBorders>
          </w:tcPr>
          <w:p w:rsidR="00F107BC" w:rsidRDefault="00F107BC" w:rsidP="00F107BC">
            <w:pPr>
              <w:pStyle w:val="Tabletext"/>
            </w:pPr>
            <w:r>
              <w:t>Europeans</w:t>
            </w:r>
          </w:p>
        </w:tc>
        <w:tc>
          <w:tcPr>
            <w:tcW w:w="2173" w:type="pct"/>
            <w:tcBorders>
              <w:top w:val="nil"/>
              <w:left w:val="single" w:sz="4" w:space="0" w:color="7F7F7F"/>
              <w:bottom w:val="nil"/>
              <w:right w:val="single" w:sz="4" w:space="0" w:color="7F7F7F"/>
              <w:tl2br w:val="nil"/>
              <w:tr2bl w:val="nil"/>
            </w:tcBorders>
          </w:tcPr>
          <w:p w:rsidR="00F107BC" w:rsidRDefault="00F107BC" w:rsidP="0075475E">
            <w:pPr>
              <w:pStyle w:val="Tabletext"/>
              <w:ind w:right="340"/>
            </w:pPr>
            <w:r>
              <w:t>Unadjusted participation rate – under 25 years</w:t>
            </w:r>
          </w:p>
        </w:tc>
        <w:tc>
          <w:tcPr>
            <w:tcW w:w="723" w:type="pct"/>
            <w:tcBorders>
              <w:top w:val="nil"/>
              <w:left w:val="single" w:sz="4" w:space="0" w:color="7F7F7F"/>
              <w:bottom w:val="nil"/>
              <w:right w:val="single" w:sz="4" w:space="0" w:color="7F7F7F"/>
              <w:tl2br w:val="nil"/>
              <w:tr2bl w:val="nil"/>
            </w:tcBorders>
          </w:tcPr>
          <w:p w:rsidR="00F107BC" w:rsidRPr="00BB22EA" w:rsidRDefault="00F107BC" w:rsidP="00F107BC">
            <w:pPr>
              <w:pStyle w:val="Tabletext"/>
              <w:ind w:right="340"/>
              <w:jc w:val="right"/>
            </w:pPr>
            <w:r>
              <w:t>2</w:t>
            </w:r>
            <w:r w:rsidR="008D71E8">
              <w:t>7.5</w:t>
            </w:r>
          </w:p>
        </w:tc>
        <w:tc>
          <w:tcPr>
            <w:tcW w:w="723" w:type="pct"/>
            <w:tcBorders>
              <w:top w:val="nil"/>
              <w:left w:val="single" w:sz="4" w:space="0" w:color="7F7F7F"/>
              <w:bottom w:val="nil"/>
              <w:right w:val="single" w:sz="4" w:space="0" w:color="7F7F7F"/>
              <w:tl2br w:val="nil"/>
              <w:tr2bl w:val="nil"/>
            </w:tcBorders>
          </w:tcPr>
          <w:p w:rsidR="00F107BC" w:rsidRPr="00BB22EA" w:rsidRDefault="00F107BC" w:rsidP="00F107BC">
            <w:pPr>
              <w:pStyle w:val="Tabletext"/>
              <w:ind w:right="340"/>
              <w:jc w:val="right"/>
            </w:pPr>
            <w:r>
              <w:t>2</w:t>
            </w:r>
            <w:r w:rsidR="008D71E8">
              <w:t>7.6</w:t>
            </w:r>
          </w:p>
        </w:tc>
        <w:tc>
          <w:tcPr>
            <w:tcW w:w="721" w:type="pct"/>
            <w:tcBorders>
              <w:top w:val="nil"/>
              <w:left w:val="single" w:sz="4" w:space="0" w:color="7F7F7F"/>
              <w:bottom w:val="nil"/>
              <w:right w:val="single" w:sz="4" w:space="0" w:color="7F7F7F"/>
              <w:tl2br w:val="nil"/>
              <w:tr2bl w:val="nil"/>
            </w:tcBorders>
          </w:tcPr>
          <w:p w:rsidR="00F107BC" w:rsidRPr="00BB22EA" w:rsidRDefault="00F107BC" w:rsidP="00F107BC">
            <w:pPr>
              <w:pStyle w:val="Tabletext"/>
              <w:ind w:right="340"/>
              <w:jc w:val="right"/>
            </w:pPr>
            <w:r>
              <w:t>28.</w:t>
            </w:r>
            <w:r w:rsidR="008D71E8">
              <w:t>1</w:t>
            </w:r>
          </w:p>
        </w:tc>
      </w:tr>
      <w:tr w:rsidR="00F107BC" w:rsidRPr="00BB22EA" w:rsidTr="00F107BC">
        <w:tc>
          <w:tcPr>
            <w:tcW w:w="660" w:type="pct"/>
            <w:tcBorders>
              <w:top w:val="nil"/>
              <w:left w:val="single" w:sz="4" w:space="0" w:color="7F7F7F"/>
              <w:bottom w:val="nil"/>
              <w:right w:val="single" w:sz="4" w:space="0" w:color="7F7F7F"/>
              <w:tl2br w:val="nil"/>
              <w:tr2bl w:val="nil"/>
            </w:tcBorders>
            <w:shd w:val="clear" w:color="auto" w:fill="C2D8EA"/>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shd w:val="clear" w:color="auto" w:fill="C2D8EA"/>
          </w:tcPr>
          <w:p w:rsidR="00F107BC" w:rsidRDefault="00F107BC" w:rsidP="0075475E">
            <w:pPr>
              <w:pStyle w:val="Tabletext"/>
              <w:ind w:right="340"/>
            </w:pPr>
            <w:r>
              <w:t>Unadjusted participation rate – 25 years and over</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BB22EA" w:rsidRDefault="00F107BC" w:rsidP="00F107BC">
            <w:pPr>
              <w:pStyle w:val="Tabletext"/>
              <w:ind w:right="340"/>
              <w:jc w:val="right"/>
            </w:pPr>
            <w:r>
              <w:t>7.</w:t>
            </w:r>
            <w:r w:rsidR="008D71E8">
              <w:t>5</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BB22EA" w:rsidRDefault="008D71E8" w:rsidP="00F107BC">
            <w:pPr>
              <w:pStyle w:val="Tabletext"/>
              <w:ind w:right="340"/>
              <w:jc w:val="right"/>
            </w:pPr>
            <w:r>
              <w:t>7.2</w:t>
            </w:r>
          </w:p>
        </w:tc>
        <w:tc>
          <w:tcPr>
            <w:tcW w:w="721" w:type="pct"/>
            <w:tcBorders>
              <w:top w:val="nil"/>
              <w:left w:val="single" w:sz="4" w:space="0" w:color="7F7F7F"/>
              <w:bottom w:val="nil"/>
              <w:right w:val="single" w:sz="4" w:space="0" w:color="7F7F7F"/>
              <w:tl2br w:val="nil"/>
              <w:tr2bl w:val="nil"/>
            </w:tcBorders>
            <w:shd w:val="clear" w:color="auto" w:fill="C2D8EA"/>
          </w:tcPr>
          <w:p w:rsidR="00F107BC" w:rsidRPr="00BB22EA" w:rsidRDefault="008D71E8" w:rsidP="00F107BC">
            <w:pPr>
              <w:pStyle w:val="Tabletext"/>
              <w:ind w:right="340"/>
              <w:jc w:val="right"/>
            </w:pPr>
            <w:r>
              <w:t>4.8</w:t>
            </w:r>
          </w:p>
        </w:tc>
      </w:tr>
      <w:tr w:rsidR="00F107BC" w:rsidRPr="00BB22EA" w:rsidTr="00F107BC">
        <w:tc>
          <w:tcPr>
            <w:tcW w:w="660" w:type="pct"/>
            <w:tcBorders>
              <w:top w:val="nil"/>
              <w:left w:val="single" w:sz="4" w:space="0" w:color="7F7F7F"/>
              <w:bottom w:val="nil"/>
              <w:right w:val="single" w:sz="4" w:space="0" w:color="7F7F7F"/>
              <w:tl2br w:val="nil"/>
              <w:tr2bl w:val="nil"/>
            </w:tcBorders>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tcPr>
          <w:p w:rsidR="00F107BC" w:rsidRDefault="00F107BC" w:rsidP="0075475E">
            <w:pPr>
              <w:pStyle w:val="Tabletext"/>
              <w:ind w:right="340"/>
            </w:pPr>
            <w:r>
              <w:t>Total unadjusted participation rate</w:t>
            </w:r>
          </w:p>
        </w:tc>
        <w:tc>
          <w:tcPr>
            <w:tcW w:w="723" w:type="pct"/>
            <w:tcBorders>
              <w:top w:val="nil"/>
              <w:left w:val="single" w:sz="4" w:space="0" w:color="7F7F7F"/>
              <w:bottom w:val="nil"/>
              <w:right w:val="single" w:sz="4" w:space="0" w:color="7F7F7F"/>
              <w:tl2br w:val="nil"/>
              <w:tr2bl w:val="nil"/>
            </w:tcBorders>
          </w:tcPr>
          <w:p w:rsidR="00F107BC" w:rsidRPr="00062155" w:rsidRDefault="00EA26C4" w:rsidP="00F107BC">
            <w:pPr>
              <w:pStyle w:val="Tabletext"/>
              <w:ind w:right="340"/>
              <w:jc w:val="right"/>
            </w:pPr>
            <w:r>
              <w:t>10.7</w:t>
            </w:r>
          </w:p>
        </w:tc>
        <w:tc>
          <w:tcPr>
            <w:tcW w:w="723" w:type="pct"/>
            <w:tcBorders>
              <w:top w:val="nil"/>
              <w:left w:val="single" w:sz="4" w:space="0" w:color="7F7F7F"/>
              <w:bottom w:val="nil"/>
              <w:right w:val="single" w:sz="4" w:space="0" w:color="7F7F7F"/>
              <w:tl2br w:val="nil"/>
              <w:tr2bl w:val="nil"/>
            </w:tcBorders>
          </w:tcPr>
          <w:p w:rsidR="00F107BC" w:rsidRPr="00062155" w:rsidRDefault="00EA26C4" w:rsidP="00F107BC">
            <w:pPr>
              <w:pStyle w:val="Tabletext"/>
              <w:ind w:right="340"/>
              <w:jc w:val="right"/>
            </w:pPr>
            <w:r>
              <w:t>10.5</w:t>
            </w:r>
          </w:p>
        </w:tc>
        <w:tc>
          <w:tcPr>
            <w:tcW w:w="721" w:type="pct"/>
            <w:tcBorders>
              <w:top w:val="nil"/>
              <w:left w:val="single" w:sz="4" w:space="0" w:color="7F7F7F"/>
              <w:bottom w:val="nil"/>
              <w:right w:val="single" w:sz="4" w:space="0" w:color="7F7F7F"/>
              <w:tl2br w:val="nil"/>
              <w:tr2bl w:val="nil"/>
            </w:tcBorders>
          </w:tcPr>
          <w:p w:rsidR="00F107BC" w:rsidRPr="00062155" w:rsidRDefault="00EA26C4" w:rsidP="00F107BC">
            <w:pPr>
              <w:pStyle w:val="Tabletext"/>
              <w:ind w:right="340"/>
              <w:jc w:val="right"/>
            </w:pPr>
            <w:r>
              <w:t>8.6</w:t>
            </w:r>
          </w:p>
        </w:tc>
      </w:tr>
      <w:tr w:rsidR="00F107BC" w:rsidRPr="00BB22EA" w:rsidTr="00F107BC">
        <w:tc>
          <w:tcPr>
            <w:tcW w:w="660" w:type="pct"/>
            <w:tcBorders>
              <w:top w:val="nil"/>
              <w:left w:val="single" w:sz="4" w:space="0" w:color="7F7F7F"/>
              <w:bottom w:val="nil"/>
              <w:right w:val="single" w:sz="4" w:space="0" w:color="7F7F7F"/>
              <w:tl2br w:val="nil"/>
              <w:tr2bl w:val="nil"/>
            </w:tcBorders>
            <w:shd w:val="clear" w:color="auto" w:fill="C2D8EA"/>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shd w:val="clear" w:color="auto" w:fill="C2D8EA"/>
          </w:tcPr>
          <w:p w:rsidR="00F107BC" w:rsidRPr="00446520" w:rsidRDefault="00F107BC" w:rsidP="0075475E">
            <w:pPr>
              <w:pStyle w:val="Tabletext"/>
              <w:ind w:right="340"/>
              <w:rPr>
                <w:highlight w:val="yellow"/>
              </w:rPr>
            </w:pPr>
            <w:r w:rsidRPr="00B220A6">
              <w:t>Total age-standardised</w:t>
            </w:r>
            <w:r>
              <w:t xml:space="preserve"> participation rate</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062155" w:rsidRDefault="00EA26C4" w:rsidP="00F107BC">
            <w:pPr>
              <w:pStyle w:val="Tabletext"/>
              <w:ind w:right="340"/>
              <w:jc w:val="right"/>
            </w:pPr>
            <w:r>
              <w:t>11.3</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062155" w:rsidRDefault="00EA26C4" w:rsidP="00F107BC">
            <w:pPr>
              <w:pStyle w:val="Tabletext"/>
              <w:ind w:right="340"/>
              <w:jc w:val="right"/>
            </w:pPr>
            <w:r>
              <w:t>11.2</w:t>
            </w:r>
          </w:p>
        </w:tc>
        <w:tc>
          <w:tcPr>
            <w:tcW w:w="721" w:type="pct"/>
            <w:tcBorders>
              <w:top w:val="nil"/>
              <w:left w:val="single" w:sz="4" w:space="0" w:color="7F7F7F"/>
              <w:bottom w:val="nil"/>
              <w:right w:val="single" w:sz="4" w:space="0" w:color="7F7F7F"/>
              <w:tl2br w:val="nil"/>
              <w:tr2bl w:val="nil"/>
            </w:tcBorders>
            <w:shd w:val="clear" w:color="auto" w:fill="C2D8EA"/>
          </w:tcPr>
          <w:p w:rsidR="00F107BC" w:rsidRPr="00062155" w:rsidRDefault="00EA26C4" w:rsidP="00F107BC">
            <w:pPr>
              <w:pStyle w:val="Tabletext"/>
              <w:ind w:right="340"/>
              <w:jc w:val="right"/>
            </w:pPr>
            <w:r>
              <w:t>9.4</w:t>
            </w:r>
          </w:p>
        </w:tc>
      </w:tr>
      <w:tr w:rsidR="00F107BC" w:rsidRPr="00BB22EA" w:rsidTr="00F107BC">
        <w:tc>
          <w:tcPr>
            <w:tcW w:w="660" w:type="pct"/>
            <w:tcBorders>
              <w:top w:val="nil"/>
              <w:left w:val="single" w:sz="4" w:space="0" w:color="7F7F7F"/>
              <w:bottom w:val="nil"/>
              <w:right w:val="single" w:sz="4" w:space="0" w:color="7F7F7F"/>
              <w:tl2br w:val="nil"/>
              <w:tr2bl w:val="nil"/>
            </w:tcBorders>
          </w:tcPr>
          <w:p w:rsidR="00F107BC" w:rsidRDefault="00F107BC" w:rsidP="00F107BC">
            <w:pPr>
              <w:pStyle w:val="Tabletext"/>
            </w:pPr>
            <w:proofErr w:type="spellStart"/>
            <w:r>
              <w:t>Māori</w:t>
            </w:r>
            <w:proofErr w:type="spellEnd"/>
          </w:p>
        </w:tc>
        <w:tc>
          <w:tcPr>
            <w:tcW w:w="2173" w:type="pct"/>
            <w:tcBorders>
              <w:top w:val="nil"/>
              <w:left w:val="single" w:sz="4" w:space="0" w:color="7F7F7F"/>
              <w:bottom w:val="nil"/>
              <w:right w:val="single" w:sz="4" w:space="0" w:color="7F7F7F"/>
              <w:tl2br w:val="nil"/>
              <w:tr2bl w:val="nil"/>
            </w:tcBorders>
          </w:tcPr>
          <w:p w:rsidR="00F107BC" w:rsidRDefault="00F107BC" w:rsidP="0075475E">
            <w:pPr>
              <w:pStyle w:val="Tabletext"/>
              <w:ind w:right="340"/>
            </w:pPr>
            <w:r>
              <w:t>Unadjusted participation rate – under 25 years</w:t>
            </w:r>
          </w:p>
        </w:tc>
        <w:tc>
          <w:tcPr>
            <w:tcW w:w="723" w:type="pct"/>
            <w:tcBorders>
              <w:top w:val="nil"/>
              <w:left w:val="single" w:sz="4" w:space="0" w:color="7F7F7F"/>
              <w:bottom w:val="nil"/>
              <w:right w:val="single" w:sz="4" w:space="0" w:color="7F7F7F"/>
              <w:tl2br w:val="nil"/>
              <w:tr2bl w:val="nil"/>
            </w:tcBorders>
          </w:tcPr>
          <w:p w:rsidR="00F107BC" w:rsidRPr="00BB22EA" w:rsidRDefault="00F107BC" w:rsidP="00F107BC">
            <w:pPr>
              <w:pStyle w:val="Tabletext"/>
              <w:ind w:right="340"/>
              <w:jc w:val="right"/>
            </w:pPr>
            <w:r>
              <w:t>26.</w:t>
            </w:r>
            <w:r w:rsidR="00E174CB">
              <w:t>2</w:t>
            </w:r>
          </w:p>
        </w:tc>
        <w:tc>
          <w:tcPr>
            <w:tcW w:w="723" w:type="pct"/>
            <w:tcBorders>
              <w:top w:val="nil"/>
              <w:left w:val="single" w:sz="4" w:space="0" w:color="7F7F7F"/>
              <w:bottom w:val="nil"/>
              <w:right w:val="single" w:sz="4" w:space="0" w:color="7F7F7F"/>
              <w:tl2br w:val="nil"/>
              <w:tr2bl w:val="nil"/>
            </w:tcBorders>
          </w:tcPr>
          <w:p w:rsidR="00F107BC" w:rsidRPr="00BB22EA" w:rsidRDefault="00E174CB" w:rsidP="00F107BC">
            <w:pPr>
              <w:pStyle w:val="Tabletext"/>
              <w:ind w:right="340"/>
              <w:jc w:val="right"/>
            </w:pPr>
            <w:r>
              <w:t>23.8</w:t>
            </w:r>
          </w:p>
        </w:tc>
        <w:tc>
          <w:tcPr>
            <w:tcW w:w="721" w:type="pct"/>
            <w:tcBorders>
              <w:top w:val="nil"/>
              <w:left w:val="single" w:sz="4" w:space="0" w:color="7F7F7F"/>
              <w:bottom w:val="nil"/>
              <w:right w:val="single" w:sz="4" w:space="0" w:color="7F7F7F"/>
              <w:tl2br w:val="nil"/>
              <w:tr2bl w:val="nil"/>
            </w:tcBorders>
          </w:tcPr>
          <w:p w:rsidR="00F107BC" w:rsidRPr="00BB22EA" w:rsidRDefault="00F107BC" w:rsidP="00F107BC">
            <w:pPr>
              <w:pStyle w:val="Tabletext"/>
              <w:ind w:right="340"/>
              <w:jc w:val="right"/>
            </w:pPr>
            <w:r>
              <w:t>2</w:t>
            </w:r>
            <w:r w:rsidR="00E174CB">
              <w:t>8.3</w:t>
            </w:r>
          </w:p>
        </w:tc>
      </w:tr>
      <w:tr w:rsidR="00F107BC" w:rsidRPr="00BB22EA" w:rsidTr="00F107BC">
        <w:tc>
          <w:tcPr>
            <w:tcW w:w="660" w:type="pct"/>
            <w:tcBorders>
              <w:top w:val="nil"/>
              <w:left w:val="single" w:sz="4" w:space="0" w:color="7F7F7F"/>
              <w:bottom w:val="nil"/>
              <w:right w:val="single" w:sz="4" w:space="0" w:color="7F7F7F"/>
              <w:tl2br w:val="nil"/>
              <w:tr2bl w:val="nil"/>
            </w:tcBorders>
            <w:shd w:val="clear" w:color="auto" w:fill="C2D8EA"/>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shd w:val="clear" w:color="auto" w:fill="C2D8EA"/>
          </w:tcPr>
          <w:p w:rsidR="00F107BC" w:rsidRDefault="00F107BC" w:rsidP="0075475E">
            <w:pPr>
              <w:pStyle w:val="Tabletext"/>
              <w:ind w:right="340"/>
            </w:pPr>
            <w:r>
              <w:t>Unadjusted participation rate – 25 years and over</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BB22EA" w:rsidRDefault="00F107BC" w:rsidP="00F107BC">
            <w:pPr>
              <w:pStyle w:val="Tabletext"/>
              <w:ind w:right="340"/>
              <w:jc w:val="right"/>
            </w:pPr>
            <w:r>
              <w:t>2</w:t>
            </w:r>
            <w:r w:rsidR="00E174CB">
              <w:t>1.6</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BB22EA" w:rsidRDefault="00F107BC" w:rsidP="00F107BC">
            <w:pPr>
              <w:pStyle w:val="Tabletext"/>
              <w:ind w:right="340"/>
              <w:jc w:val="right"/>
            </w:pPr>
            <w:r>
              <w:t>1</w:t>
            </w:r>
            <w:r w:rsidR="00E174CB">
              <w:t>7.3</w:t>
            </w:r>
          </w:p>
        </w:tc>
        <w:tc>
          <w:tcPr>
            <w:tcW w:w="721" w:type="pct"/>
            <w:tcBorders>
              <w:top w:val="nil"/>
              <w:left w:val="single" w:sz="4" w:space="0" w:color="7F7F7F"/>
              <w:bottom w:val="nil"/>
              <w:right w:val="single" w:sz="4" w:space="0" w:color="7F7F7F"/>
              <w:tl2br w:val="nil"/>
              <w:tr2bl w:val="nil"/>
            </w:tcBorders>
            <w:shd w:val="clear" w:color="auto" w:fill="C2D8EA"/>
          </w:tcPr>
          <w:p w:rsidR="00F107BC" w:rsidRPr="00BB22EA" w:rsidRDefault="00F107BC" w:rsidP="00F107BC">
            <w:pPr>
              <w:pStyle w:val="Tabletext"/>
              <w:ind w:right="340"/>
              <w:jc w:val="right"/>
            </w:pPr>
            <w:r>
              <w:t>13.</w:t>
            </w:r>
            <w:r w:rsidR="00E174CB">
              <w:t>6</w:t>
            </w:r>
          </w:p>
        </w:tc>
      </w:tr>
      <w:tr w:rsidR="00F107BC" w:rsidRPr="00BB22EA" w:rsidTr="00F107BC">
        <w:tc>
          <w:tcPr>
            <w:tcW w:w="660" w:type="pct"/>
            <w:tcBorders>
              <w:top w:val="nil"/>
              <w:left w:val="single" w:sz="4" w:space="0" w:color="7F7F7F"/>
              <w:bottom w:val="nil"/>
              <w:right w:val="single" w:sz="4" w:space="0" w:color="7F7F7F"/>
              <w:tl2br w:val="nil"/>
              <w:tr2bl w:val="nil"/>
            </w:tcBorders>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tcPr>
          <w:p w:rsidR="00F107BC" w:rsidRDefault="00F107BC" w:rsidP="0075475E">
            <w:pPr>
              <w:pStyle w:val="Tabletext"/>
              <w:ind w:right="340"/>
            </w:pPr>
            <w:r>
              <w:t>Total unadjusted participation rate</w:t>
            </w:r>
          </w:p>
        </w:tc>
        <w:tc>
          <w:tcPr>
            <w:tcW w:w="723" w:type="pct"/>
            <w:tcBorders>
              <w:top w:val="nil"/>
              <w:left w:val="single" w:sz="4" w:space="0" w:color="7F7F7F"/>
              <w:bottom w:val="nil"/>
              <w:right w:val="single" w:sz="4" w:space="0" w:color="7F7F7F"/>
              <w:tl2br w:val="nil"/>
              <w:tr2bl w:val="nil"/>
            </w:tcBorders>
          </w:tcPr>
          <w:p w:rsidR="00F107BC" w:rsidRPr="00062155" w:rsidRDefault="00F107BC" w:rsidP="00EA26C4">
            <w:pPr>
              <w:pStyle w:val="Tabletext"/>
              <w:ind w:right="340"/>
              <w:jc w:val="right"/>
            </w:pPr>
            <w:r>
              <w:t>22.</w:t>
            </w:r>
            <w:r w:rsidR="00EA26C4">
              <w:t>9</w:t>
            </w:r>
          </w:p>
        </w:tc>
        <w:tc>
          <w:tcPr>
            <w:tcW w:w="723" w:type="pct"/>
            <w:tcBorders>
              <w:top w:val="nil"/>
              <w:left w:val="single" w:sz="4" w:space="0" w:color="7F7F7F"/>
              <w:bottom w:val="nil"/>
              <w:right w:val="single" w:sz="4" w:space="0" w:color="7F7F7F"/>
              <w:tl2br w:val="nil"/>
              <w:tr2bl w:val="nil"/>
            </w:tcBorders>
          </w:tcPr>
          <w:p w:rsidR="00F107BC" w:rsidRPr="00062155" w:rsidRDefault="00EA26C4" w:rsidP="00F107BC">
            <w:pPr>
              <w:pStyle w:val="Tabletext"/>
              <w:ind w:right="340"/>
              <w:jc w:val="right"/>
            </w:pPr>
            <w:r>
              <w:t>19.2</w:t>
            </w:r>
          </w:p>
        </w:tc>
        <w:tc>
          <w:tcPr>
            <w:tcW w:w="721" w:type="pct"/>
            <w:tcBorders>
              <w:top w:val="nil"/>
              <w:left w:val="single" w:sz="4" w:space="0" w:color="7F7F7F"/>
              <w:bottom w:val="nil"/>
              <w:right w:val="single" w:sz="4" w:space="0" w:color="7F7F7F"/>
              <w:tl2br w:val="nil"/>
              <w:tr2bl w:val="nil"/>
            </w:tcBorders>
          </w:tcPr>
          <w:p w:rsidR="00F107BC" w:rsidRPr="00062155" w:rsidRDefault="00F107BC" w:rsidP="00F107BC">
            <w:pPr>
              <w:pStyle w:val="Tabletext"/>
              <w:ind w:right="340"/>
              <w:jc w:val="right"/>
            </w:pPr>
            <w:r>
              <w:t>17.</w:t>
            </w:r>
            <w:r w:rsidR="00EA26C4">
              <w:t>7</w:t>
            </w:r>
          </w:p>
        </w:tc>
      </w:tr>
      <w:tr w:rsidR="00F107BC" w:rsidRPr="00BB22EA" w:rsidTr="00F107BC">
        <w:tc>
          <w:tcPr>
            <w:tcW w:w="660" w:type="pct"/>
            <w:tcBorders>
              <w:top w:val="nil"/>
              <w:left w:val="single" w:sz="4" w:space="0" w:color="7F7F7F"/>
              <w:bottom w:val="nil"/>
              <w:right w:val="single" w:sz="4" w:space="0" w:color="7F7F7F"/>
              <w:tl2br w:val="nil"/>
              <w:tr2bl w:val="nil"/>
            </w:tcBorders>
            <w:shd w:val="clear" w:color="auto" w:fill="C2D8EA"/>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shd w:val="clear" w:color="auto" w:fill="C2D8EA"/>
          </w:tcPr>
          <w:p w:rsidR="00F107BC" w:rsidRPr="00446520" w:rsidRDefault="00F107BC" w:rsidP="0075475E">
            <w:pPr>
              <w:pStyle w:val="Tabletext"/>
              <w:ind w:right="340"/>
              <w:rPr>
                <w:highlight w:val="yellow"/>
              </w:rPr>
            </w:pPr>
            <w:r w:rsidRPr="00B220A6">
              <w:t>Total age-standardised</w:t>
            </w:r>
            <w:r>
              <w:t xml:space="preserve"> participation rate</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062155" w:rsidRDefault="00F107BC" w:rsidP="00F107BC">
            <w:pPr>
              <w:pStyle w:val="Tabletext"/>
              <w:ind w:right="340"/>
              <w:jc w:val="right"/>
            </w:pPr>
            <w:r>
              <w:t>1</w:t>
            </w:r>
            <w:r w:rsidR="00EA26C4">
              <w:t>9.1</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062155" w:rsidRDefault="00F107BC" w:rsidP="00F107BC">
            <w:pPr>
              <w:pStyle w:val="Tabletext"/>
              <w:ind w:right="340"/>
              <w:jc w:val="right"/>
            </w:pPr>
            <w:r>
              <w:t>1</w:t>
            </w:r>
            <w:r w:rsidR="00EA26C4">
              <w:t>6.7</w:t>
            </w:r>
          </w:p>
        </w:tc>
        <w:tc>
          <w:tcPr>
            <w:tcW w:w="721" w:type="pct"/>
            <w:tcBorders>
              <w:top w:val="nil"/>
              <w:left w:val="single" w:sz="4" w:space="0" w:color="7F7F7F"/>
              <w:bottom w:val="nil"/>
              <w:right w:val="single" w:sz="4" w:space="0" w:color="7F7F7F"/>
              <w:tl2br w:val="nil"/>
              <w:tr2bl w:val="nil"/>
            </w:tcBorders>
            <w:shd w:val="clear" w:color="auto" w:fill="C2D8EA"/>
          </w:tcPr>
          <w:p w:rsidR="00F107BC" w:rsidRPr="00062155" w:rsidRDefault="00F107BC" w:rsidP="00F107BC">
            <w:pPr>
              <w:pStyle w:val="Tabletext"/>
              <w:ind w:right="340"/>
              <w:jc w:val="right"/>
            </w:pPr>
            <w:r>
              <w:t>14.</w:t>
            </w:r>
            <w:r w:rsidR="00EA26C4">
              <w:t>7</w:t>
            </w:r>
          </w:p>
        </w:tc>
      </w:tr>
      <w:tr w:rsidR="00F107BC" w:rsidRPr="00BB22EA" w:rsidTr="00F107BC">
        <w:tc>
          <w:tcPr>
            <w:tcW w:w="660" w:type="pct"/>
            <w:tcBorders>
              <w:top w:val="nil"/>
              <w:left w:val="single" w:sz="4" w:space="0" w:color="7F7F7F"/>
              <w:bottom w:val="nil"/>
              <w:right w:val="single" w:sz="4" w:space="0" w:color="7F7F7F"/>
              <w:tl2br w:val="nil"/>
              <w:tr2bl w:val="nil"/>
            </w:tcBorders>
          </w:tcPr>
          <w:p w:rsidR="00F107BC" w:rsidRDefault="00F107BC" w:rsidP="00F107BC">
            <w:pPr>
              <w:pStyle w:val="Tabletext"/>
            </w:pPr>
            <w:proofErr w:type="spellStart"/>
            <w:r>
              <w:t>Pasifika</w:t>
            </w:r>
            <w:proofErr w:type="spellEnd"/>
          </w:p>
        </w:tc>
        <w:tc>
          <w:tcPr>
            <w:tcW w:w="2173" w:type="pct"/>
            <w:tcBorders>
              <w:top w:val="nil"/>
              <w:left w:val="single" w:sz="4" w:space="0" w:color="7F7F7F"/>
              <w:bottom w:val="nil"/>
              <w:right w:val="single" w:sz="4" w:space="0" w:color="7F7F7F"/>
              <w:tl2br w:val="nil"/>
              <w:tr2bl w:val="nil"/>
            </w:tcBorders>
          </w:tcPr>
          <w:p w:rsidR="00F107BC" w:rsidRDefault="00F107BC" w:rsidP="0075475E">
            <w:pPr>
              <w:pStyle w:val="Tabletext"/>
              <w:ind w:right="340"/>
            </w:pPr>
            <w:r>
              <w:t>Unadjusted participation rate – under 25 years</w:t>
            </w:r>
          </w:p>
        </w:tc>
        <w:tc>
          <w:tcPr>
            <w:tcW w:w="723" w:type="pct"/>
            <w:tcBorders>
              <w:top w:val="nil"/>
              <w:left w:val="single" w:sz="4" w:space="0" w:color="7F7F7F"/>
              <w:bottom w:val="nil"/>
              <w:right w:val="single" w:sz="4" w:space="0" w:color="7F7F7F"/>
              <w:tl2br w:val="nil"/>
              <w:tr2bl w:val="nil"/>
            </w:tcBorders>
          </w:tcPr>
          <w:p w:rsidR="00F107BC" w:rsidRDefault="00E174CB" w:rsidP="00F107BC">
            <w:pPr>
              <w:pStyle w:val="Tabletext"/>
              <w:ind w:right="340"/>
              <w:jc w:val="right"/>
            </w:pPr>
            <w:r>
              <w:t>22.8</w:t>
            </w:r>
          </w:p>
        </w:tc>
        <w:tc>
          <w:tcPr>
            <w:tcW w:w="723" w:type="pct"/>
            <w:tcBorders>
              <w:top w:val="nil"/>
              <w:left w:val="single" w:sz="4" w:space="0" w:color="7F7F7F"/>
              <w:bottom w:val="nil"/>
              <w:right w:val="single" w:sz="4" w:space="0" w:color="7F7F7F"/>
              <w:tl2br w:val="nil"/>
              <w:tr2bl w:val="nil"/>
            </w:tcBorders>
          </w:tcPr>
          <w:p w:rsidR="00F107BC" w:rsidRDefault="00F107BC" w:rsidP="00F107BC">
            <w:pPr>
              <w:pStyle w:val="Tabletext"/>
              <w:ind w:right="340"/>
              <w:jc w:val="right"/>
            </w:pPr>
            <w:r>
              <w:t>22.4</w:t>
            </w:r>
          </w:p>
        </w:tc>
        <w:tc>
          <w:tcPr>
            <w:tcW w:w="721" w:type="pct"/>
            <w:tcBorders>
              <w:top w:val="nil"/>
              <w:left w:val="single" w:sz="4" w:space="0" w:color="7F7F7F"/>
              <w:bottom w:val="nil"/>
              <w:right w:val="single" w:sz="4" w:space="0" w:color="7F7F7F"/>
              <w:tl2br w:val="nil"/>
              <w:tr2bl w:val="nil"/>
            </w:tcBorders>
          </w:tcPr>
          <w:p w:rsidR="00F107BC" w:rsidRDefault="00E174CB" w:rsidP="00F107BC">
            <w:pPr>
              <w:pStyle w:val="Tabletext"/>
              <w:ind w:right="340"/>
              <w:jc w:val="right"/>
            </w:pPr>
            <w:r>
              <w:t>28.1</w:t>
            </w:r>
          </w:p>
        </w:tc>
      </w:tr>
      <w:tr w:rsidR="00F107BC" w:rsidRPr="00BB22EA" w:rsidTr="00F107BC">
        <w:tc>
          <w:tcPr>
            <w:tcW w:w="660" w:type="pct"/>
            <w:tcBorders>
              <w:top w:val="nil"/>
              <w:left w:val="single" w:sz="4" w:space="0" w:color="7F7F7F"/>
              <w:bottom w:val="nil"/>
              <w:right w:val="single" w:sz="4" w:space="0" w:color="7F7F7F"/>
              <w:tl2br w:val="nil"/>
              <w:tr2bl w:val="nil"/>
            </w:tcBorders>
            <w:shd w:val="clear" w:color="auto" w:fill="C2D8EA"/>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shd w:val="clear" w:color="auto" w:fill="C2D8EA"/>
          </w:tcPr>
          <w:p w:rsidR="00F107BC" w:rsidRDefault="00F107BC" w:rsidP="0075475E">
            <w:pPr>
              <w:pStyle w:val="Tabletext"/>
              <w:ind w:right="340"/>
            </w:pPr>
            <w:r>
              <w:t>Unadjusted participation rate – 25 years and over</w:t>
            </w:r>
          </w:p>
        </w:tc>
        <w:tc>
          <w:tcPr>
            <w:tcW w:w="723" w:type="pct"/>
            <w:tcBorders>
              <w:top w:val="nil"/>
              <w:left w:val="single" w:sz="4" w:space="0" w:color="7F7F7F"/>
              <w:bottom w:val="nil"/>
              <w:right w:val="single" w:sz="4" w:space="0" w:color="7F7F7F"/>
              <w:tl2br w:val="nil"/>
              <w:tr2bl w:val="nil"/>
            </w:tcBorders>
            <w:shd w:val="clear" w:color="auto" w:fill="C2D8EA"/>
          </w:tcPr>
          <w:p w:rsidR="00F107BC" w:rsidRDefault="00E174CB" w:rsidP="00F107BC">
            <w:pPr>
              <w:pStyle w:val="Tabletext"/>
              <w:ind w:right="340"/>
              <w:jc w:val="right"/>
            </w:pPr>
            <w:r>
              <w:t>11</w:t>
            </w:r>
            <w:r w:rsidR="00F107BC">
              <w:t>.</w:t>
            </w:r>
            <w:r w:rsidR="005114AE">
              <w:t>1</w:t>
            </w:r>
          </w:p>
        </w:tc>
        <w:tc>
          <w:tcPr>
            <w:tcW w:w="723" w:type="pct"/>
            <w:tcBorders>
              <w:top w:val="nil"/>
              <w:left w:val="single" w:sz="4" w:space="0" w:color="7F7F7F"/>
              <w:bottom w:val="nil"/>
              <w:right w:val="single" w:sz="4" w:space="0" w:color="7F7F7F"/>
              <w:tl2br w:val="nil"/>
              <w:tr2bl w:val="nil"/>
            </w:tcBorders>
            <w:shd w:val="clear" w:color="auto" w:fill="C2D8EA"/>
          </w:tcPr>
          <w:p w:rsidR="00F107BC" w:rsidRDefault="00F107BC" w:rsidP="00F107BC">
            <w:pPr>
              <w:pStyle w:val="Tabletext"/>
              <w:ind w:right="340"/>
              <w:jc w:val="right"/>
            </w:pPr>
            <w:r>
              <w:t>11.</w:t>
            </w:r>
            <w:r w:rsidR="00E174CB">
              <w:t>4</w:t>
            </w:r>
          </w:p>
        </w:tc>
        <w:tc>
          <w:tcPr>
            <w:tcW w:w="721" w:type="pct"/>
            <w:tcBorders>
              <w:top w:val="nil"/>
              <w:left w:val="single" w:sz="4" w:space="0" w:color="7F7F7F"/>
              <w:bottom w:val="nil"/>
              <w:right w:val="single" w:sz="4" w:space="0" w:color="7F7F7F"/>
              <w:tl2br w:val="nil"/>
              <w:tr2bl w:val="nil"/>
            </w:tcBorders>
            <w:shd w:val="clear" w:color="auto" w:fill="C2D8EA"/>
          </w:tcPr>
          <w:p w:rsidR="00F107BC" w:rsidRDefault="00E174CB" w:rsidP="00F107BC">
            <w:pPr>
              <w:pStyle w:val="Tabletext"/>
              <w:ind w:right="340"/>
              <w:jc w:val="right"/>
            </w:pPr>
            <w:r>
              <w:t>9.8</w:t>
            </w:r>
          </w:p>
        </w:tc>
      </w:tr>
      <w:tr w:rsidR="00F107BC" w:rsidRPr="00BB22EA" w:rsidTr="00F107BC">
        <w:tc>
          <w:tcPr>
            <w:tcW w:w="660" w:type="pct"/>
            <w:tcBorders>
              <w:top w:val="nil"/>
              <w:left w:val="single" w:sz="4" w:space="0" w:color="7F7F7F"/>
              <w:bottom w:val="nil"/>
              <w:right w:val="single" w:sz="4" w:space="0" w:color="7F7F7F"/>
              <w:tl2br w:val="nil"/>
              <w:tr2bl w:val="nil"/>
            </w:tcBorders>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tcPr>
          <w:p w:rsidR="00F107BC" w:rsidRDefault="00F107BC" w:rsidP="0075475E">
            <w:pPr>
              <w:pStyle w:val="Tabletext"/>
              <w:ind w:right="340"/>
            </w:pPr>
            <w:r>
              <w:t>Total unadjusted participation rate</w:t>
            </w:r>
          </w:p>
        </w:tc>
        <w:tc>
          <w:tcPr>
            <w:tcW w:w="723" w:type="pct"/>
            <w:tcBorders>
              <w:top w:val="nil"/>
              <w:left w:val="single" w:sz="4" w:space="0" w:color="7F7F7F"/>
              <w:bottom w:val="nil"/>
              <w:right w:val="single" w:sz="4" w:space="0" w:color="7F7F7F"/>
              <w:tl2br w:val="nil"/>
              <w:tr2bl w:val="nil"/>
            </w:tcBorders>
          </w:tcPr>
          <w:p w:rsidR="00F107BC" w:rsidRPr="00062155" w:rsidRDefault="00F107BC" w:rsidP="00F107BC">
            <w:pPr>
              <w:pStyle w:val="Tabletext"/>
              <w:ind w:right="340"/>
              <w:jc w:val="right"/>
            </w:pPr>
            <w:r>
              <w:t>1</w:t>
            </w:r>
            <w:r w:rsidR="00EA26C4">
              <w:t>4.4</w:t>
            </w:r>
          </w:p>
        </w:tc>
        <w:tc>
          <w:tcPr>
            <w:tcW w:w="723" w:type="pct"/>
            <w:tcBorders>
              <w:top w:val="nil"/>
              <w:left w:val="single" w:sz="4" w:space="0" w:color="7F7F7F"/>
              <w:bottom w:val="nil"/>
              <w:right w:val="single" w:sz="4" w:space="0" w:color="7F7F7F"/>
              <w:tl2br w:val="nil"/>
              <w:tr2bl w:val="nil"/>
            </w:tcBorders>
          </w:tcPr>
          <w:p w:rsidR="00F107BC" w:rsidRPr="00062155" w:rsidRDefault="00F107BC" w:rsidP="00F107BC">
            <w:pPr>
              <w:pStyle w:val="Tabletext"/>
              <w:ind w:right="340"/>
              <w:jc w:val="right"/>
            </w:pPr>
            <w:r>
              <w:t>14.</w:t>
            </w:r>
            <w:r w:rsidR="00EA26C4">
              <w:t>7</w:t>
            </w:r>
          </w:p>
        </w:tc>
        <w:tc>
          <w:tcPr>
            <w:tcW w:w="721" w:type="pct"/>
            <w:tcBorders>
              <w:top w:val="nil"/>
              <w:left w:val="single" w:sz="4" w:space="0" w:color="7F7F7F"/>
              <w:bottom w:val="nil"/>
              <w:right w:val="single" w:sz="4" w:space="0" w:color="7F7F7F"/>
              <w:tl2br w:val="nil"/>
              <w:tr2bl w:val="nil"/>
            </w:tcBorders>
          </w:tcPr>
          <w:p w:rsidR="00F107BC" w:rsidRPr="00062155" w:rsidRDefault="00F107BC" w:rsidP="00EA26C4">
            <w:pPr>
              <w:pStyle w:val="Tabletext"/>
              <w:ind w:right="340"/>
              <w:jc w:val="right"/>
            </w:pPr>
            <w:r>
              <w:t>15.</w:t>
            </w:r>
            <w:r w:rsidR="00EA26C4">
              <w:t>3</w:t>
            </w:r>
          </w:p>
        </w:tc>
      </w:tr>
      <w:tr w:rsidR="00F107BC" w:rsidRPr="00BB22EA" w:rsidTr="00F107BC">
        <w:tc>
          <w:tcPr>
            <w:tcW w:w="660" w:type="pct"/>
            <w:tcBorders>
              <w:top w:val="nil"/>
              <w:left w:val="single" w:sz="4" w:space="0" w:color="7F7F7F"/>
              <w:bottom w:val="nil"/>
              <w:right w:val="single" w:sz="4" w:space="0" w:color="7F7F7F"/>
              <w:tl2br w:val="nil"/>
              <w:tr2bl w:val="nil"/>
            </w:tcBorders>
            <w:shd w:val="clear" w:color="auto" w:fill="C2D8EA"/>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shd w:val="clear" w:color="auto" w:fill="C2D8EA"/>
          </w:tcPr>
          <w:p w:rsidR="00F107BC" w:rsidRPr="00446520" w:rsidRDefault="00F107BC" w:rsidP="0075475E">
            <w:pPr>
              <w:pStyle w:val="Tabletext"/>
              <w:ind w:right="340"/>
              <w:rPr>
                <w:highlight w:val="yellow"/>
              </w:rPr>
            </w:pPr>
            <w:r w:rsidRPr="00B220A6">
              <w:t>Total age-standardised</w:t>
            </w:r>
            <w:r>
              <w:t xml:space="preserve"> participation rate</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062155" w:rsidRDefault="005114AE" w:rsidP="00F107BC">
            <w:pPr>
              <w:pStyle w:val="Tabletext"/>
              <w:ind w:right="340"/>
              <w:jc w:val="right"/>
            </w:pPr>
            <w:r>
              <w:t>1</w:t>
            </w:r>
            <w:r w:rsidR="00EA26C4">
              <w:t>1.0</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062155" w:rsidRDefault="005114AE" w:rsidP="00F107BC">
            <w:pPr>
              <w:pStyle w:val="Tabletext"/>
              <w:ind w:right="340"/>
              <w:jc w:val="right"/>
            </w:pPr>
            <w:r>
              <w:t>11.</w:t>
            </w:r>
            <w:r w:rsidR="00B61A92">
              <w:t>6</w:t>
            </w:r>
          </w:p>
        </w:tc>
        <w:tc>
          <w:tcPr>
            <w:tcW w:w="721" w:type="pct"/>
            <w:tcBorders>
              <w:top w:val="nil"/>
              <w:left w:val="single" w:sz="4" w:space="0" w:color="7F7F7F"/>
              <w:bottom w:val="nil"/>
              <w:right w:val="single" w:sz="4" w:space="0" w:color="7F7F7F"/>
              <w:tl2br w:val="nil"/>
              <w:tr2bl w:val="nil"/>
            </w:tcBorders>
            <w:shd w:val="clear" w:color="auto" w:fill="C2D8EA"/>
          </w:tcPr>
          <w:p w:rsidR="00F107BC" w:rsidRPr="00062155" w:rsidRDefault="005114AE" w:rsidP="00F107BC">
            <w:pPr>
              <w:pStyle w:val="Tabletext"/>
              <w:ind w:right="340"/>
              <w:jc w:val="right"/>
            </w:pPr>
            <w:r>
              <w:t>11.</w:t>
            </w:r>
            <w:r w:rsidR="00B61A92">
              <w:t>5</w:t>
            </w:r>
          </w:p>
        </w:tc>
      </w:tr>
      <w:tr w:rsidR="00F107BC" w:rsidRPr="00BB22EA" w:rsidTr="00F107BC">
        <w:tc>
          <w:tcPr>
            <w:tcW w:w="660" w:type="pct"/>
            <w:tcBorders>
              <w:top w:val="nil"/>
              <w:left w:val="single" w:sz="4" w:space="0" w:color="7F7F7F"/>
              <w:bottom w:val="nil"/>
              <w:right w:val="single" w:sz="4" w:space="0" w:color="7F7F7F"/>
              <w:tl2br w:val="nil"/>
              <w:tr2bl w:val="nil"/>
            </w:tcBorders>
          </w:tcPr>
          <w:p w:rsidR="00F107BC" w:rsidRDefault="00F107BC" w:rsidP="00F107BC">
            <w:pPr>
              <w:pStyle w:val="Tabletext"/>
            </w:pPr>
            <w:r>
              <w:t>Asians</w:t>
            </w:r>
          </w:p>
        </w:tc>
        <w:tc>
          <w:tcPr>
            <w:tcW w:w="2173" w:type="pct"/>
            <w:tcBorders>
              <w:top w:val="nil"/>
              <w:left w:val="single" w:sz="4" w:space="0" w:color="7F7F7F"/>
              <w:bottom w:val="nil"/>
              <w:right w:val="single" w:sz="4" w:space="0" w:color="7F7F7F"/>
              <w:tl2br w:val="nil"/>
              <w:tr2bl w:val="nil"/>
            </w:tcBorders>
          </w:tcPr>
          <w:p w:rsidR="00F107BC" w:rsidRDefault="00F107BC" w:rsidP="0075475E">
            <w:pPr>
              <w:pStyle w:val="Tabletext"/>
              <w:ind w:right="340"/>
            </w:pPr>
            <w:r>
              <w:t>Unadjusted participation rate – under 25 years</w:t>
            </w:r>
          </w:p>
        </w:tc>
        <w:tc>
          <w:tcPr>
            <w:tcW w:w="723" w:type="pct"/>
            <w:tcBorders>
              <w:top w:val="nil"/>
              <w:left w:val="single" w:sz="4" w:space="0" w:color="7F7F7F"/>
              <w:bottom w:val="nil"/>
              <w:right w:val="single" w:sz="4" w:space="0" w:color="7F7F7F"/>
              <w:tl2br w:val="nil"/>
              <w:tr2bl w:val="nil"/>
            </w:tcBorders>
          </w:tcPr>
          <w:p w:rsidR="00F107BC" w:rsidRDefault="00E174CB" w:rsidP="00F107BC">
            <w:pPr>
              <w:pStyle w:val="Tabletext"/>
              <w:ind w:right="340"/>
              <w:jc w:val="right"/>
            </w:pPr>
            <w:r>
              <w:t>20.4</w:t>
            </w:r>
          </w:p>
        </w:tc>
        <w:tc>
          <w:tcPr>
            <w:tcW w:w="723" w:type="pct"/>
            <w:tcBorders>
              <w:top w:val="nil"/>
              <w:left w:val="single" w:sz="4" w:space="0" w:color="7F7F7F"/>
              <w:bottom w:val="nil"/>
              <w:right w:val="single" w:sz="4" w:space="0" w:color="7F7F7F"/>
              <w:tl2br w:val="nil"/>
              <w:tr2bl w:val="nil"/>
            </w:tcBorders>
          </w:tcPr>
          <w:p w:rsidR="00F107BC" w:rsidRDefault="00E174CB" w:rsidP="00F107BC">
            <w:pPr>
              <w:pStyle w:val="Tabletext"/>
              <w:ind w:right="340"/>
              <w:jc w:val="right"/>
            </w:pPr>
            <w:r>
              <w:t>25.3</w:t>
            </w:r>
          </w:p>
        </w:tc>
        <w:tc>
          <w:tcPr>
            <w:tcW w:w="721" w:type="pct"/>
            <w:tcBorders>
              <w:top w:val="nil"/>
              <w:left w:val="single" w:sz="4" w:space="0" w:color="7F7F7F"/>
              <w:bottom w:val="nil"/>
              <w:right w:val="single" w:sz="4" w:space="0" w:color="7F7F7F"/>
              <w:tl2br w:val="nil"/>
              <w:tr2bl w:val="nil"/>
            </w:tcBorders>
          </w:tcPr>
          <w:p w:rsidR="00F107BC" w:rsidRDefault="00E174CB" w:rsidP="00F107BC">
            <w:pPr>
              <w:pStyle w:val="Tabletext"/>
              <w:ind w:right="340"/>
              <w:jc w:val="right"/>
            </w:pPr>
            <w:r>
              <w:t>26.8</w:t>
            </w:r>
          </w:p>
        </w:tc>
      </w:tr>
      <w:tr w:rsidR="00F107BC" w:rsidRPr="00BB22EA" w:rsidTr="00F107BC">
        <w:tc>
          <w:tcPr>
            <w:tcW w:w="660" w:type="pct"/>
            <w:tcBorders>
              <w:top w:val="nil"/>
              <w:left w:val="single" w:sz="4" w:space="0" w:color="7F7F7F"/>
              <w:bottom w:val="nil"/>
              <w:right w:val="single" w:sz="4" w:space="0" w:color="7F7F7F"/>
              <w:tl2br w:val="nil"/>
              <w:tr2bl w:val="nil"/>
            </w:tcBorders>
            <w:shd w:val="clear" w:color="auto" w:fill="C2D8EA"/>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shd w:val="clear" w:color="auto" w:fill="C2D8EA"/>
          </w:tcPr>
          <w:p w:rsidR="00F107BC" w:rsidRDefault="00F107BC" w:rsidP="0075475E">
            <w:pPr>
              <w:pStyle w:val="Tabletext"/>
              <w:ind w:right="340"/>
            </w:pPr>
            <w:r>
              <w:t>Unadjusted participation rate – 25 years and over</w:t>
            </w:r>
          </w:p>
        </w:tc>
        <w:tc>
          <w:tcPr>
            <w:tcW w:w="723" w:type="pct"/>
            <w:tcBorders>
              <w:top w:val="nil"/>
              <w:left w:val="single" w:sz="4" w:space="0" w:color="7F7F7F"/>
              <w:bottom w:val="nil"/>
              <w:right w:val="single" w:sz="4" w:space="0" w:color="7F7F7F"/>
              <w:tl2br w:val="nil"/>
              <w:tr2bl w:val="nil"/>
            </w:tcBorders>
            <w:shd w:val="clear" w:color="auto" w:fill="C2D8EA"/>
          </w:tcPr>
          <w:p w:rsidR="00F107BC" w:rsidRDefault="00E174CB" w:rsidP="00F107BC">
            <w:pPr>
              <w:pStyle w:val="Tabletext"/>
              <w:ind w:right="340"/>
              <w:jc w:val="right"/>
            </w:pPr>
            <w:r>
              <w:t>14.4</w:t>
            </w:r>
          </w:p>
        </w:tc>
        <w:tc>
          <w:tcPr>
            <w:tcW w:w="723" w:type="pct"/>
            <w:tcBorders>
              <w:top w:val="nil"/>
              <w:left w:val="single" w:sz="4" w:space="0" w:color="7F7F7F"/>
              <w:bottom w:val="nil"/>
              <w:right w:val="single" w:sz="4" w:space="0" w:color="7F7F7F"/>
              <w:tl2br w:val="nil"/>
              <w:tr2bl w:val="nil"/>
            </w:tcBorders>
            <w:shd w:val="clear" w:color="auto" w:fill="C2D8EA"/>
          </w:tcPr>
          <w:p w:rsidR="00F107BC" w:rsidRDefault="00E174CB" w:rsidP="00F107BC">
            <w:pPr>
              <w:pStyle w:val="Tabletext"/>
              <w:ind w:right="340"/>
              <w:jc w:val="right"/>
            </w:pPr>
            <w:r>
              <w:t>10</w:t>
            </w:r>
            <w:r w:rsidR="00F107BC">
              <w:t>.7</w:t>
            </w:r>
          </w:p>
        </w:tc>
        <w:tc>
          <w:tcPr>
            <w:tcW w:w="721" w:type="pct"/>
            <w:tcBorders>
              <w:top w:val="nil"/>
              <w:left w:val="single" w:sz="4" w:space="0" w:color="7F7F7F"/>
              <w:bottom w:val="nil"/>
              <w:right w:val="single" w:sz="4" w:space="0" w:color="7F7F7F"/>
              <w:tl2br w:val="nil"/>
              <w:tr2bl w:val="nil"/>
            </w:tcBorders>
            <w:shd w:val="clear" w:color="auto" w:fill="C2D8EA"/>
          </w:tcPr>
          <w:p w:rsidR="00F107BC" w:rsidRDefault="00E174CB" w:rsidP="00F107BC">
            <w:pPr>
              <w:pStyle w:val="Tabletext"/>
              <w:ind w:right="340"/>
              <w:jc w:val="right"/>
            </w:pPr>
            <w:r>
              <w:t>6.7</w:t>
            </w:r>
          </w:p>
        </w:tc>
      </w:tr>
      <w:tr w:rsidR="00F107BC" w:rsidRPr="00BB22EA" w:rsidTr="00F107BC">
        <w:tc>
          <w:tcPr>
            <w:tcW w:w="660" w:type="pct"/>
            <w:tcBorders>
              <w:top w:val="nil"/>
              <w:left w:val="single" w:sz="4" w:space="0" w:color="7F7F7F"/>
              <w:bottom w:val="nil"/>
              <w:right w:val="single" w:sz="4" w:space="0" w:color="7F7F7F"/>
              <w:tl2br w:val="nil"/>
              <w:tr2bl w:val="nil"/>
            </w:tcBorders>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tcPr>
          <w:p w:rsidR="00F107BC" w:rsidRDefault="00F107BC" w:rsidP="0075475E">
            <w:pPr>
              <w:pStyle w:val="Tabletext"/>
              <w:ind w:right="340"/>
            </w:pPr>
            <w:r>
              <w:t>Total unadjusted participation rate</w:t>
            </w:r>
          </w:p>
        </w:tc>
        <w:tc>
          <w:tcPr>
            <w:tcW w:w="723" w:type="pct"/>
            <w:tcBorders>
              <w:top w:val="nil"/>
              <w:left w:val="single" w:sz="4" w:space="0" w:color="7F7F7F"/>
              <w:bottom w:val="nil"/>
              <w:right w:val="single" w:sz="4" w:space="0" w:color="7F7F7F"/>
              <w:tl2br w:val="nil"/>
              <w:tr2bl w:val="nil"/>
            </w:tcBorders>
          </w:tcPr>
          <w:p w:rsidR="00F107BC" w:rsidRPr="00062155" w:rsidRDefault="00F107BC" w:rsidP="00F107BC">
            <w:pPr>
              <w:pStyle w:val="Tabletext"/>
              <w:ind w:right="340"/>
              <w:jc w:val="right"/>
            </w:pPr>
            <w:r>
              <w:t>1</w:t>
            </w:r>
            <w:r w:rsidR="00EA26C4">
              <w:t>6.2</w:t>
            </w:r>
          </w:p>
        </w:tc>
        <w:tc>
          <w:tcPr>
            <w:tcW w:w="723" w:type="pct"/>
            <w:tcBorders>
              <w:top w:val="nil"/>
              <w:left w:val="single" w:sz="4" w:space="0" w:color="7F7F7F"/>
              <w:bottom w:val="nil"/>
              <w:right w:val="single" w:sz="4" w:space="0" w:color="7F7F7F"/>
              <w:tl2br w:val="nil"/>
              <w:tr2bl w:val="nil"/>
            </w:tcBorders>
          </w:tcPr>
          <w:p w:rsidR="00F107BC" w:rsidRPr="00062155" w:rsidRDefault="00F107BC" w:rsidP="00F107BC">
            <w:pPr>
              <w:pStyle w:val="Tabletext"/>
              <w:ind w:right="340"/>
              <w:jc w:val="right"/>
            </w:pPr>
            <w:r>
              <w:t>1</w:t>
            </w:r>
            <w:r w:rsidR="00EA26C4">
              <w:t>4.5</w:t>
            </w:r>
          </w:p>
        </w:tc>
        <w:tc>
          <w:tcPr>
            <w:tcW w:w="721" w:type="pct"/>
            <w:tcBorders>
              <w:top w:val="nil"/>
              <w:left w:val="single" w:sz="4" w:space="0" w:color="7F7F7F"/>
              <w:bottom w:val="nil"/>
              <w:right w:val="single" w:sz="4" w:space="0" w:color="7F7F7F"/>
              <w:tl2br w:val="nil"/>
              <w:tr2bl w:val="nil"/>
            </w:tcBorders>
          </w:tcPr>
          <w:p w:rsidR="00F107BC" w:rsidRPr="00062155" w:rsidRDefault="00F107BC" w:rsidP="00F107BC">
            <w:pPr>
              <w:pStyle w:val="Tabletext"/>
              <w:ind w:right="340"/>
              <w:jc w:val="right"/>
            </w:pPr>
            <w:r>
              <w:t>11.</w:t>
            </w:r>
            <w:r w:rsidR="00EA26C4">
              <w:t>0</w:t>
            </w:r>
          </w:p>
        </w:tc>
      </w:tr>
      <w:tr w:rsidR="00F107BC" w:rsidRPr="00BB22EA" w:rsidTr="00F107BC">
        <w:tc>
          <w:tcPr>
            <w:tcW w:w="660" w:type="pct"/>
            <w:tcBorders>
              <w:top w:val="nil"/>
              <w:left w:val="single" w:sz="4" w:space="0" w:color="7F7F7F"/>
              <w:bottom w:val="nil"/>
              <w:right w:val="single" w:sz="4" w:space="0" w:color="7F7F7F"/>
              <w:tl2br w:val="nil"/>
              <w:tr2bl w:val="nil"/>
            </w:tcBorders>
            <w:shd w:val="clear" w:color="auto" w:fill="C2D8EA"/>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shd w:val="clear" w:color="auto" w:fill="C2D8EA"/>
          </w:tcPr>
          <w:p w:rsidR="00F107BC" w:rsidRPr="00446520" w:rsidRDefault="00F107BC" w:rsidP="0075475E">
            <w:pPr>
              <w:pStyle w:val="Tabletext"/>
              <w:ind w:right="340"/>
              <w:rPr>
                <w:highlight w:val="yellow"/>
              </w:rPr>
            </w:pPr>
            <w:r w:rsidRPr="00B220A6">
              <w:t>Total age-standardised</w:t>
            </w:r>
            <w:r>
              <w:t xml:space="preserve"> participation rate</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062155" w:rsidRDefault="00EA26C4" w:rsidP="00F107BC">
            <w:pPr>
              <w:pStyle w:val="Tabletext"/>
              <w:ind w:right="340"/>
              <w:jc w:val="right"/>
            </w:pPr>
            <w:r>
              <w:t>13</w:t>
            </w:r>
            <w:r w:rsidR="00F107BC">
              <w:t>.2</w:t>
            </w:r>
          </w:p>
        </w:tc>
        <w:tc>
          <w:tcPr>
            <w:tcW w:w="723" w:type="pct"/>
            <w:tcBorders>
              <w:top w:val="nil"/>
              <w:left w:val="single" w:sz="4" w:space="0" w:color="7F7F7F"/>
              <w:bottom w:val="nil"/>
              <w:right w:val="single" w:sz="4" w:space="0" w:color="7F7F7F"/>
              <w:tl2br w:val="nil"/>
              <w:tr2bl w:val="nil"/>
            </w:tcBorders>
            <w:shd w:val="clear" w:color="auto" w:fill="C2D8EA"/>
          </w:tcPr>
          <w:p w:rsidR="00F107BC" w:rsidRPr="00062155" w:rsidRDefault="00F107BC" w:rsidP="00F107BC">
            <w:pPr>
              <w:pStyle w:val="Tabletext"/>
              <w:ind w:right="340"/>
              <w:jc w:val="right"/>
            </w:pPr>
            <w:r>
              <w:t>1</w:t>
            </w:r>
            <w:r w:rsidR="00EA26C4">
              <w:t>2.2</w:t>
            </w:r>
          </w:p>
        </w:tc>
        <w:tc>
          <w:tcPr>
            <w:tcW w:w="721" w:type="pct"/>
            <w:tcBorders>
              <w:top w:val="nil"/>
              <w:left w:val="single" w:sz="4" w:space="0" w:color="7F7F7F"/>
              <w:bottom w:val="nil"/>
              <w:right w:val="single" w:sz="4" w:space="0" w:color="7F7F7F"/>
              <w:tl2br w:val="nil"/>
              <w:tr2bl w:val="nil"/>
            </w:tcBorders>
            <w:shd w:val="clear" w:color="auto" w:fill="C2D8EA"/>
          </w:tcPr>
          <w:p w:rsidR="00F107BC" w:rsidRPr="00062155" w:rsidRDefault="00F107BC" w:rsidP="00F107BC">
            <w:pPr>
              <w:pStyle w:val="Tabletext"/>
              <w:ind w:right="340"/>
              <w:jc w:val="right"/>
            </w:pPr>
            <w:r>
              <w:t>9.</w:t>
            </w:r>
            <w:r w:rsidR="00EA26C4">
              <w:t>1</w:t>
            </w:r>
          </w:p>
        </w:tc>
      </w:tr>
      <w:tr w:rsidR="00F107BC" w:rsidRPr="00BB22EA" w:rsidTr="00F107BC">
        <w:tc>
          <w:tcPr>
            <w:tcW w:w="660" w:type="pct"/>
            <w:tcBorders>
              <w:top w:val="nil"/>
              <w:left w:val="single" w:sz="4" w:space="0" w:color="7F7F7F"/>
              <w:bottom w:val="nil"/>
              <w:right w:val="single" w:sz="4" w:space="0" w:color="7F7F7F"/>
              <w:tl2br w:val="nil"/>
              <w:tr2bl w:val="nil"/>
            </w:tcBorders>
          </w:tcPr>
          <w:p w:rsidR="00F107BC" w:rsidRDefault="00F107BC" w:rsidP="00F107BC">
            <w:pPr>
              <w:pStyle w:val="Tabletext"/>
            </w:pPr>
            <w:r>
              <w:t>Total</w:t>
            </w:r>
          </w:p>
        </w:tc>
        <w:tc>
          <w:tcPr>
            <w:tcW w:w="2173" w:type="pct"/>
            <w:tcBorders>
              <w:top w:val="nil"/>
              <w:left w:val="single" w:sz="4" w:space="0" w:color="7F7F7F"/>
              <w:bottom w:val="nil"/>
              <w:right w:val="single" w:sz="4" w:space="0" w:color="7F7F7F"/>
              <w:tl2br w:val="nil"/>
              <w:tr2bl w:val="nil"/>
            </w:tcBorders>
          </w:tcPr>
          <w:p w:rsidR="00F107BC" w:rsidRDefault="00F107BC" w:rsidP="0075475E">
            <w:pPr>
              <w:pStyle w:val="Tabletext"/>
              <w:ind w:right="340"/>
            </w:pPr>
            <w:r>
              <w:t>Unadjusted participation rate – under 25 years</w:t>
            </w:r>
          </w:p>
        </w:tc>
        <w:tc>
          <w:tcPr>
            <w:tcW w:w="723" w:type="pct"/>
            <w:tcBorders>
              <w:top w:val="nil"/>
              <w:left w:val="single" w:sz="4" w:space="0" w:color="7F7F7F"/>
              <w:bottom w:val="nil"/>
              <w:right w:val="single" w:sz="4" w:space="0" w:color="7F7F7F"/>
              <w:tl2br w:val="nil"/>
              <w:tr2bl w:val="nil"/>
            </w:tcBorders>
          </w:tcPr>
          <w:p w:rsidR="00F107BC" w:rsidRDefault="00E174CB" w:rsidP="00F107BC">
            <w:pPr>
              <w:pStyle w:val="Tabletext"/>
              <w:ind w:right="340"/>
              <w:jc w:val="right"/>
            </w:pPr>
            <w:r>
              <w:t>27.5</w:t>
            </w:r>
          </w:p>
        </w:tc>
        <w:tc>
          <w:tcPr>
            <w:tcW w:w="723" w:type="pct"/>
            <w:tcBorders>
              <w:top w:val="nil"/>
              <w:left w:val="single" w:sz="4" w:space="0" w:color="7F7F7F"/>
              <w:bottom w:val="nil"/>
              <w:right w:val="single" w:sz="4" w:space="0" w:color="7F7F7F"/>
              <w:tl2br w:val="nil"/>
              <w:tr2bl w:val="nil"/>
            </w:tcBorders>
          </w:tcPr>
          <w:p w:rsidR="00F107BC" w:rsidRDefault="00E174CB" w:rsidP="00F107BC">
            <w:pPr>
              <w:pStyle w:val="Tabletext"/>
              <w:ind w:right="340"/>
              <w:jc w:val="right"/>
            </w:pPr>
            <w:r>
              <w:t>27.8</w:t>
            </w:r>
          </w:p>
        </w:tc>
        <w:tc>
          <w:tcPr>
            <w:tcW w:w="721" w:type="pct"/>
            <w:tcBorders>
              <w:top w:val="nil"/>
              <w:left w:val="single" w:sz="4" w:space="0" w:color="7F7F7F"/>
              <w:bottom w:val="nil"/>
              <w:right w:val="single" w:sz="4" w:space="0" w:color="7F7F7F"/>
              <w:tl2br w:val="nil"/>
              <w:tr2bl w:val="nil"/>
            </w:tcBorders>
          </w:tcPr>
          <w:p w:rsidR="00F107BC" w:rsidRDefault="00E174CB" w:rsidP="00F107BC">
            <w:pPr>
              <w:pStyle w:val="Tabletext"/>
              <w:ind w:right="340"/>
              <w:jc w:val="right"/>
            </w:pPr>
            <w:r>
              <w:t>29.0</w:t>
            </w:r>
          </w:p>
        </w:tc>
      </w:tr>
      <w:tr w:rsidR="00F107BC" w:rsidRPr="00BB22EA" w:rsidTr="00F107BC">
        <w:tc>
          <w:tcPr>
            <w:tcW w:w="660" w:type="pct"/>
            <w:tcBorders>
              <w:top w:val="nil"/>
              <w:left w:val="single" w:sz="4" w:space="0" w:color="7F7F7F"/>
              <w:bottom w:val="nil"/>
              <w:right w:val="single" w:sz="4" w:space="0" w:color="7F7F7F"/>
              <w:tl2br w:val="nil"/>
              <w:tr2bl w:val="nil"/>
            </w:tcBorders>
            <w:shd w:val="clear" w:color="auto" w:fill="C2D8EA"/>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shd w:val="clear" w:color="auto" w:fill="C2D8EA"/>
          </w:tcPr>
          <w:p w:rsidR="00F107BC" w:rsidRDefault="00F107BC" w:rsidP="0075475E">
            <w:pPr>
              <w:pStyle w:val="Tabletext"/>
              <w:ind w:right="340"/>
            </w:pPr>
            <w:r>
              <w:t>Unadjusted participation rate – 25 years and over</w:t>
            </w:r>
          </w:p>
        </w:tc>
        <w:tc>
          <w:tcPr>
            <w:tcW w:w="723" w:type="pct"/>
            <w:tcBorders>
              <w:top w:val="nil"/>
              <w:left w:val="single" w:sz="4" w:space="0" w:color="7F7F7F"/>
              <w:bottom w:val="nil"/>
              <w:right w:val="single" w:sz="4" w:space="0" w:color="7F7F7F"/>
              <w:tl2br w:val="nil"/>
              <w:tr2bl w:val="nil"/>
            </w:tcBorders>
            <w:shd w:val="clear" w:color="auto" w:fill="C2D8EA"/>
          </w:tcPr>
          <w:p w:rsidR="00F107BC" w:rsidRDefault="00E174CB" w:rsidP="00F107BC">
            <w:pPr>
              <w:pStyle w:val="Tabletext"/>
              <w:ind w:right="340"/>
              <w:jc w:val="right"/>
            </w:pPr>
            <w:r>
              <w:t>9.7</w:t>
            </w:r>
          </w:p>
        </w:tc>
        <w:tc>
          <w:tcPr>
            <w:tcW w:w="723" w:type="pct"/>
            <w:tcBorders>
              <w:top w:val="nil"/>
              <w:left w:val="single" w:sz="4" w:space="0" w:color="7F7F7F"/>
              <w:bottom w:val="nil"/>
              <w:right w:val="single" w:sz="4" w:space="0" w:color="7F7F7F"/>
              <w:tl2br w:val="nil"/>
              <w:tr2bl w:val="nil"/>
            </w:tcBorders>
            <w:shd w:val="clear" w:color="auto" w:fill="C2D8EA"/>
          </w:tcPr>
          <w:p w:rsidR="00F107BC" w:rsidRDefault="00E174CB" w:rsidP="00F107BC">
            <w:pPr>
              <w:pStyle w:val="Tabletext"/>
              <w:ind w:right="340"/>
              <w:jc w:val="right"/>
            </w:pPr>
            <w:r>
              <w:t>8</w:t>
            </w:r>
            <w:r w:rsidR="00F107BC">
              <w:t>.9</w:t>
            </w:r>
          </w:p>
        </w:tc>
        <w:tc>
          <w:tcPr>
            <w:tcW w:w="721" w:type="pct"/>
            <w:tcBorders>
              <w:top w:val="nil"/>
              <w:left w:val="single" w:sz="4" w:space="0" w:color="7F7F7F"/>
              <w:bottom w:val="nil"/>
              <w:right w:val="single" w:sz="4" w:space="0" w:color="7F7F7F"/>
              <w:tl2br w:val="nil"/>
              <w:tr2bl w:val="nil"/>
            </w:tcBorders>
            <w:shd w:val="clear" w:color="auto" w:fill="C2D8EA"/>
          </w:tcPr>
          <w:p w:rsidR="00F107BC" w:rsidRDefault="00F107BC" w:rsidP="00E174CB">
            <w:pPr>
              <w:pStyle w:val="Tabletext"/>
              <w:ind w:right="340"/>
              <w:jc w:val="right"/>
            </w:pPr>
            <w:r>
              <w:t>6.</w:t>
            </w:r>
            <w:r w:rsidR="00E174CB">
              <w:t>2</w:t>
            </w:r>
          </w:p>
        </w:tc>
      </w:tr>
      <w:tr w:rsidR="00F107BC" w:rsidRPr="00BB22EA" w:rsidTr="00F107BC">
        <w:tc>
          <w:tcPr>
            <w:tcW w:w="660" w:type="pct"/>
            <w:tcBorders>
              <w:top w:val="nil"/>
              <w:left w:val="single" w:sz="4" w:space="0" w:color="7F7F7F"/>
              <w:bottom w:val="nil"/>
              <w:right w:val="single" w:sz="4" w:space="0" w:color="7F7F7F"/>
              <w:tl2br w:val="nil"/>
              <w:tr2bl w:val="nil"/>
            </w:tcBorders>
          </w:tcPr>
          <w:p w:rsidR="00F107BC" w:rsidRDefault="00F107BC" w:rsidP="00F107BC">
            <w:pPr>
              <w:pStyle w:val="Tabletext"/>
            </w:pPr>
          </w:p>
        </w:tc>
        <w:tc>
          <w:tcPr>
            <w:tcW w:w="2173" w:type="pct"/>
            <w:tcBorders>
              <w:top w:val="nil"/>
              <w:left w:val="single" w:sz="4" w:space="0" w:color="7F7F7F"/>
              <w:bottom w:val="nil"/>
              <w:right w:val="single" w:sz="4" w:space="0" w:color="7F7F7F"/>
              <w:tl2br w:val="nil"/>
              <w:tr2bl w:val="nil"/>
            </w:tcBorders>
          </w:tcPr>
          <w:p w:rsidR="00F107BC" w:rsidRDefault="00F107BC" w:rsidP="0075475E">
            <w:pPr>
              <w:pStyle w:val="Tabletext"/>
              <w:ind w:right="340"/>
            </w:pPr>
            <w:r>
              <w:t>Total unadjusted participation rate</w:t>
            </w:r>
          </w:p>
        </w:tc>
        <w:tc>
          <w:tcPr>
            <w:tcW w:w="723" w:type="pct"/>
            <w:tcBorders>
              <w:top w:val="nil"/>
              <w:left w:val="single" w:sz="4" w:space="0" w:color="7F7F7F"/>
              <w:bottom w:val="nil"/>
              <w:right w:val="single" w:sz="4" w:space="0" w:color="7F7F7F"/>
              <w:tl2br w:val="nil"/>
              <w:tr2bl w:val="nil"/>
            </w:tcBorders>
          </w:tcPr>
          <w:p w:rsidR="00F107BC" w:rsidRDefault="00EA26C4" w:rsidP="00F107BC">
            <w:pPr>
              <w:pStyle w:val="Tabletext"/>
              <w:ind w:right="340"/>
              <w:jc w:val="right"/>
            </w:pPr>
            <w:r>
              <w:t>13.0</w:t>
            </w:r>
          </w:p>
        </w:tc>
        <w:tc>
          <w:tcPr>
            <w:tcW w:w="723" w:type="pct"/>
            <w:tcBorders>
              <w:top w:val="nil"/>
              <w:left w:val="single" w:sz="4" w:space="0" w:color="7F7F7F"/>
              <w:bottom w:val="nil"/>
              <w:right w:val="single" w:sz="4" w:space="0" w:color="7F7F7F"/>
              <w:tl2br w:val="nil"/>
              <w:tr2bl w:val="nil"/>
            </w:tcBorders>
          </w:tcPr>
          <w:p w:rsidR="00F107BC" w:rsidRDefault="00EA26C4" w:rsidP="00F107BC">
            <w:pPr>
              <w:pStyle w:val="Tabletext"/>
              <w:ind w:right="340"/>
              <w:jc w:val="right"/>
            </w:pPr>
            <w:r>
              <w:t>12.4</w:t>
            </w:r>
          </w:p>
        </w:tc>
        <w:tc>
          <w:tcPr>
            <w:tcW w:w="721" w:type="pct"/>
            <w:tcBorders>
              <w:top w:val="nil"/>
              <w:left w:val="single" w:sz="4" w:space="0" w:color="7F7F7F"/>
              <w:bottom w:val="nil"/>
              <w:right w:val="single" w:sz="4" w:space="0" w:color="7F7F7F"/>
              <w:tl2br w:val="nil"/>
              <w:tr2bl w:val="nil"/>
            </w:tcBorders>
          </w:tcPr>
          <w:p w:rsidR="00F107BC" w:rsidRDefault="00EA26C4" w:rsidP="00F107BC">
            <w:pPr>
              <w:pStyle w:val="Tabletext"/>
              <w:ind w:right="340"/>
              <w:jc w:val="right"/>
            </w:pPr>
            <w:r>
              <w:t>10.3</w:t>
            </w:r>
          </w:p>
        </w:tc>
      </w:tr>
      <w:tr w:rsidR="00F107BC" w:rsidRPr="00BB22EA" w:rsidTr="00F107BC">
        <w:tc>
          <w:tcPr>
            <w:tcW w:w="660" w:type="pct"/>
            <w:tcBorders>
              <w:top w:val="nil"/>
              <w:left w:val="single" w:sz="4" w:space="0" w:color="7F7F7F"/>
              <w:bottom w:val="single" w:sz="4" w:space="0" w:color="A6A6A6" w:themeColor="background1" w:themeShade="A6"/>
              <w:right w:val="single" w:sz="4" w:space="0" w:color="7F7F7F"/>
              <w:tl2br w:val="nil"/>
              <w:tr2bl w:val="nil"/>
            </w:tcBorders>
            <w:shd w:val="clear" w:color="auto" w:fill="C2D8EA"/>
          </w:tcPr>
          <w:p w:rsidR="00F107BC" w:rsidRDefault="00F107BC" w:rsidP="00F107BC">
            <w:pPr>
              <w:pStyle w:val="Tabletext"/>
            </w:pPr>
          </w:p>
        </w:tc>
        <w:tc>
          <w:tcPr>
            <w:tcW w:w="2173" w:type="pct"/>
            <w:tcBorders>
              <w:top w:val="nil"/>
              <w:left w:val="single" w:sz="4" w:space="0" w:color="7F7F7F"/>
              <w:bottom w:val="single" w:sz="4" w:space="0" w:color="A6A6A6" w:themeColor="background1" w:themeShade="A6"/>
              <w:right w:val="single" w:sz="4" w:space="0" w:color="7F7F7F"/>
              <w:tl2br w:val="nil"/>
              <w:tr2bl w:val="nil"/>
            </w:tcBorders>
            <w:shd w:val="clear" w:color="auto" w:fill="C2D8EA"/>
          </w:tcPr>
          <w:p w:rsidR="00F107BC" w:rsidRPr="00446520" w:rsidRDefault="00F107BC" w:rsidP="0075475E">
            <w:pPr>
              <w:pStyle w:val="Tabletext"/>
              <w:ind w:right="340"/>
              <w:rPr>
                <w:highlight w:val="yellow"/>
              </w:rPr>
            </w:pPr>
            <w:r w:rsidRPr="00B220A6">
              <w:t>Total age-standardised</w:t>
            </w:r>
            <w:r>
              <w:t xml:space="preserve"> participation rate</w:t>
            </w:r>
          </w:p>
        </w:tc>
        <w:tc>
          <w:tcPr>
            <w:tcW w:w="723" w:type="pct"/>
            <w:tcBorders>
              <w:top w:val="nil"/>
              <w:left w:val="single" w:sz="4" w:space="0" w:color="7F7F7F"/>
              <w:bottom w:val="single" w:sz="4" w:space="0" w:color="A6A6A6" w:themeColor="background1" w:themeShade="A6"/>
              <w:right w:val="single" w:sz="4" w:space="0" w:color="7F7F7F"/>
              <w:tl2br w:val="nil"/>
              <w:tr2bl w:val="nil"/>
            </w:tcBorders>
            <w:shd w:val="clear" w:color="auto" w:fill="C2D8EA"/>
          </w:tcPr>
          <w:p w:rsidR="00F107BC" w:rsidRDefault="00EA26C4" w:rsidP="00F107BC">
            <w:pPr>
              <w:pStyle w:val="Tabletext"/>
              <w:ind w:right="340"/>
              <w:jc w:val="right"/>
            </w:pPr>
            <w:r>
              <w:t>13.0</w:t>
            </w:r>
          </w:p>
        </w:tc>
        <w:tc>
          <w:tcPr>
            <w:tcW w:w="723" w:type="pct"/>
            <w:tcBorders>
              <w:top w:val="nil"/>
              <w:left w:val="single" w:sz="4" w:space="0" w:color="7F7F7F"/>
              <w:bottom w:val="single" w:sz="4" w:space="0" w:color="A6A6A6" w:themeColor="background1" w:themeShade="A6"/>
              <w:right w:val="single" w:sz="4" w:space="0" w:color="7F7F7F"/>
              <w:tl2br w:val="nil"/>
              <w:tr2bl w:val="nil"/>
            </w:tcBorders>
            <w:shd w:val="clear" w:color="auto" w:fill="C2D8EA"/>
          </w:tcPr>
          <w:p w:rsidR="00F107BC" w:rsidRPr="00BB22EA" w:rsidRDefault="00F107BC" w:rsidP="00F107BC">
            <w:pPr>
              <w:pStyle w:val="Tabletext"/>
              <w:ind w:right="340"/>
              <w:jc w:val="right"/>
            </w:pPr>
            <w:r>
              <w:t>1</w:t>
            </w:r>
            <w:r w:rsidR="00EA26C4">
              <w:t>2.4</w:t>
            </w:r>
          </w:p>
        </w:tc>
        <w:tc>
          <w:tcPr>
            <w:tcW w:w="721" w:type="pct"/>
            <w:tcBorders>
              <w:top w:val="nil"/>
              <w:left w:val="single" w:sz="4" w:space="0" w:color="7F7F7F"/>
              <w:bottom w:val="single" w:sz="4" w:space="0" w:color="A6A6A6" w:themeColor="background1" w:themeShade="A6"/>
              <w:right w:val="single" w:sz="4" w:space="0" w:color="7F7F7F"/>
              <w:tl2br w:val="nil"/>
              <w:tr2bl w:val="nil"/>
            </w:tcBorders>
            <w:shd w:val="clear" w:color="auto" w:fill="C2D8EA"/>
          </w:tcPr>
          <w:p w:rsidR="00F107BC" w:rsidRDefault="00EA26C4" w:rsidP="00F107BC">
            <w:pPr>
              <w:pStyle w:val="Tabletext"/>
              <w:ind w:right="340"/>
              <w:jc w:val="right"/>
            </w:pPr>
            <w:r>
              <w:t>10.3</w:t>
            </w:r>
          </w:p>
        </w:tc>
      </w:tr>
    </w:tbl>
    <w:p w:rsidR="00C022F2" w:rsidRDefault="00C022F2" w:rsidP="00C022F2">
      <w:pPr>
        <w:pStyle w:val="Note"/>
      </w:pPr>
      <w:r>
        <w:t>Note:  Students may be counted in more than one ethnic group.</w:t>
      </w:r>
    </w:p>
    <w:p w:rsidR="00522757" w:rsidRDefault="00522757" w:rsidP="002B515D">
      <w:pPr>
        <w:pStyle w:val="Heading2"/>
        <w:spacing w:before="480"/>
      </w:pPr>
      <w:bookmarkStart w:id="59" w:name="_Toc383697365"/>
      <w:r>
        <w:t>Tertiary education participation rate of people aged 25 years and over</w:t>
      </w:r>
      <w:r w:rsidR="003A1141">
        <w:t xml:space="preserve"> by ethnic group</w:t>
      </w:r>
      <w:bookmarkEnd w:id="59"/>
    </w:p>
    <w:p w:rsidR="00522C78" w:rsidRDefault="00522757" w:rsidP="00A140A7">
      <w:pPr>
        <w:pStyle w:val="BodyText"/>
      </w:pPr>
      <w:r>
        <w:t>Of the popula</w:t>
      </w:r>
      <w:r w:rsidR="000925D4">
        <w:t>tion aged 25 years and over, 6.</w:t>
      </w:r>
      <w:r w:rsidR="00D82428">
        <w:t>2</w:t>
      </w:r>
      <w:r>
        <w:t xml:space="preserve"> percent participated in tertiary education in </w:t>
      </w:r>
      <w:r w:rsidR="00D605CB">
        <w:t>2013</w:t>
      </w:r>
      <w:r>
        <w:t>.</w:t>
      </w:r>
      <w:r w:rsidR="009D7FC7">
        <w:rPr>
          <w:rStyle w:val="FootnoteReference"/>
        </w:rPr>
        <w:footnoteReference w:id="15"/>
      </w:r>
      <w:r>
        <w:t xml:space="preserve">  Ten years earlier</w:t>
      </w:r>
      <w:r w:rsidR="002B515D">
        <w:t>,</w:t>
      </w:r>
      <w:r>
        <w:t xml:space="preserve"> </w:t>
      </w:r>
      <w:r w:rsidR="000925D4">
        <w:t>9</w:t>
      </w:r>
      <w:r w:rsidR="00177130">
        <w:t>.7</w:t>
      </w:r>
      <w:r>
        <w:t xml:space="preserve"> percent of New Zealanders in this age group participated in tertiary education. </w:t>
      </w:r>
      <w:r w:rsidR="003A1141">
        <w:t>This</w:t>
      </w:r>
      <w:r w:rsidR="002667C6">
        <w:t xml:space="preserve"> decrease was </w:t>
      </w:r>
      <w:r w:rsidR="005114AE">
        <w:t xml:space="preserve">mainly </w:t>
      </w:r>
      <w:r w:rsidR="002667C6">
        <w:t xml:space="preserve">due to </w:t>
      </w:r>
      <w:r w:rsidR="00827ED4">
        <w:t>lower</w:t>
      </w:r>
      <w:r w:rsidR="002667C6">
        <w:t xml:space="preserve"> participation </w:t>
      </w:r>
      <w:r w:rsidR="00827ED4">
        <w:t>rates for</w:t>
      </w:r>
      <w:r w:rsidR="002667C6">
        <w:t xml:space="preserve"> non-degree </w:t>
      </w:r>
      <w:r w:rsidR="004672FD">
        <w:t>qualifications</w:t>
      </w:r>
      <w:r w:rsidR="000925D4">
        <w:t xml:space="preserve">, down by </w:t>
      </w:r>
      <w:r w:rsidR="00177130">
        <w:t>3.1</w:t>
      </w:r>
      <w:r w:rsidR="000925D4">
        <w:t xml:space="preserve"> percentage points</w:t>
      </w:r>
      <w:r w:rsidR="00177130">
        <w:t xml:space="preserve"> to 4.0</w:t>
      </w:r>
      <w:r w:rsidR="005114AE">
        <w:t xml:space="preserve"> percent. </w:t>
      </w:r>
      <w:r w:rsidR="00522C78">
        <w:t xml:space="preserve">The participation rates in </w:t>
      </w:r>
      <w:r w:rsidR="006E0517">
        <w:t>non-degree</w:t>
      </w:r>
      <w:r w:rsidR="00522C78">
        <w:t xml:space="preserve"> qualifications have become lower </w:t>
      </w:r>
      <w:r w:rsidR="006E0517">
        <w:t>since 2005</w:t>
      </w:r>
      <w:r w:rsidR="009F1A28">
        <w:t xml:space="preserve">, </w:t>
      </w:r>
      <w:r w:rsidR="002B515D">
        <w:t>when government</w:t>
      </w:r>
      <w:r w:rsidR="00522C78">
        <w:t xml:space="preserve"> </w:t>
      </w:r>
      <w:r w:rsidR="002B515D">
        <w:t>held reviews of these qualifications in order to</w:t>
      </w:r>
      <w:r w:rsidR="00522C78">
        <w:t xml:space="preserve"> increase the relevance of skills and knowledge </w:t>
      </w:r>
      <w:r w:rsidR="000925D4">
        <w:t xml:space="preserve">of New Zealanders </w:t>
      </w:r>
      <w:r w:rsidR="00474F80">
        <w:t>to meet national goals.</w:t>
      </w:r>
    </w:p>
    <w:p w:rsidR="00F55155" w:rsidRDefault="009200A4" w:rsidP="00A140A7">
      <w:pPr>
        <w:pStyle w:val="BodyText"/>
      </w:pPr>
      <w:r>
        <w:t>The participation rate of people aged 25 years and over in d</w:t>
      </w:r>
      <w:r w:rsidR="00517F63">
        <w:t>egre</w:t>
      </w:r>
      <w:r>
        <w:t>e and higher qualifications was</w:t>
      </w:r>
      <w:r w:rsidR="00517F63">
        <w:t xml:space="preserve"> also lowe</w:t>
      </w:r>
      <w:r w:rsidR="005C4D15">
        <w:t xml:space="preserve">r in </w:t>
      </w:r>
      <w:r w:rsidR="00D605CB">
        <w:t>2013</w:t>
      </w:r>
      <w:r w:rsidR="005C4D15">
        <w:t xml:space="preserve"> than in </w:t>
      </w:r>
      <w:r w:rsidR="00D605CB">
        <w:t>2003</w:t>
      </w:r>
      <w:r>
        <w:t>, down by 0.</w:t>
      </w:r>
      <w:r w:rsidR="00177130">
        <w:t>6</w:t>
      </w:r>
      <w:r>
        <w:t xml:space="preserve"> percentage points to 2.</w:t>
      </w:r>
      <w:r w:rsidR="00177130">
        <w:t>4</w:t>
      </w:r>
      <w:r>
        <w:t xml:space="preserve"> percent.</w:t>
      </w:r>
    </w:p>
    <w:p w:rsidR="002667C6" w:rsidRDefault="008A3B72" w:rsidP="00A140A7">
      <w:pPr>
        <w:pStyle w:val="BodyText"/>
      </w:pPr>
      <w:r>
        <w:lastRenderedPageBreak/>
        <w:t xml:space="preserve">The participation rates of the population aged 25 years and over vary significantly among the ethnic groups. </w:t>
      </w:r>
      <w:r w:rsidR="00EE3AF2">
        <w:t xml:space="preserve">In </w:t>
      </w:r>
      <w:r w:rsidR="00D605CB">
        <w:t>2013</w:t>
      </w:r>
      <w:r w:rsidR="00EE3AF2">
        <w:t>, t</w:t>
      </w:r>
      <w:r w:rsidR="000925D4">
        <w:t xml:space="preserve">he </w:t>
      </w:r>
      <w:proofErr w:type="spellStart"/>
      <w:r w:rsidR="000925D4">
        <w:t>Māori</w:t>
      </w:r>
      <w:proofErr w:type="spellEnd"/>
      <w:r w:rsidR="000925D4">
        <w:t xml:space="preserve"> ethnic group, at 14</w:t>
      </w:r>
      <w:r w:rsidR="009C2301">
        <w:t xml:space="preserve"> percent, had the highest participation rate in tertiary education</w:t>
      </w:r>
      <w:r w:rsidR="00EE3AF2">
        <w:t xml:space="preserve"> for this age group</w:t>
      </w:r>
      <w:r w:rsidR="009C2301">
        <w:t xml:space="preserve">. The comparable participation rate for </w:t>
      </w:r>
      <w:proofErr w:type="spellStart"/>
      <w:r w:rsidR="00EE3AF2">
        <w:t>Pasifika</w:t>
      </w:r>
      <w:proofErr w:type="spellEnd"/>
      <w:r w:rsidR="00EE3AF2">
        <w:t xml:space="preserve"> people was </w:t>
      </w:r>
      <w:r w:rsidR="00177130">
        <w:t>9.8</w:t>
      </w:r>
      <w:r w:rsidR="009C2301">
        <w:t xml:space="preserve"> percent</w:t>
      </w:r>
      <w:r w:rsidR="00EE3AF2">
        <w:t>,</w:t>
      </w:r>
      <w:r w:rsidR="009C2301">
        <w:t xml:space="preserve"> for the </w:t>
      </w:r>
      <w:r w:rsidR="00EE3AF2">
        <w:t>Asian</w:t>
      </w:r>
      <w:r w:rsidR="009C2301">
        <w:t xml:space="preserve"> </w:t>
      </w:r>
      <w:r w:rsidR="00EE3AF2">
        <w:t xml:space="preserve">ethnic group it was </w:t>
      </w:r>
      <w:r w:rsidR="00177130">
        <w:t>6.7</w:t>
      </w:r>
      <w:r w:rsidR="00EE3AF2">
        <w:t xml:space="preserve"> percent </w:t>
      </w:r>
      <w:r w:rsidR="009C2301">
        <w:t xml:space="preserve">and </w:t>
      </w:r>
      <w:r w:rsidR="00177130">
        <w:t>for Europeans 4.8</w:t>
      </w:r>
      <w:r w:rsidR="009C2301">
        <w:t xml:space="preserve"> percent.</w:t>
      </w:r>
    </w:p>
    <w:p w:rsidR="009F1A28" w:rsidRDefault="006E1187" w:rsidP="009E1CAD">
      <w:pPr>
        <w:pStyle w:val="BodyText"/>
      </w:pPr>
      <w:r>
        <w:t>In 2003</w:t>
      </w:r>
      <w:r w:rsidR="00827ED4">
        <w:t xml:space="preserve">, </w:t>
      </w:r>
      <w:proofErr w:type="spellStart"/>
      <w:r w:rsidR="00EE3AF2">
        <w:t>Māori</w:t>
      </w:r>
      <w:proofErr w:type="spellEnd"/>
      <w:r w:rsidR="00EE3AF2">
        <w:t xml:space="preserve"> aged 25 years and over</w:t>
      </w:r>
      <w:r w:rsidR="00827ED4">
        <w:t xml:space="preserve"> </w:t>
      </w:r>
      <w:r w:rsidR="00177130">
        <w:t>had 22</w:t>
      </w:r>
      <w:r w:rsidR="00827ED4">
        <w:t xml:space="preserve"> percent</w:t>
      </w:r>
      <w:r w:rsidR="00EE3AF2">
        <w:t xml:space="preserve"> </w:t>
      </w:r>
      <w:r w:rsidR="00827ED4">
        <w:t>of their number participating</w:t>
      </w:r>
      <w:r w:rsidR="00EE3AF2">
        <w:t xml:space="preserve"> in tertiary education</w:t>
      </w:r>
      <w:r w:rsidR="0044609A">
        <w:t xml:space="preserve">. </w:t>
      </w:r>
      <w:r w:rsidR="003A1141">
        <w:t xml:space="preserve">This was due to </w:t>
      </w:r>
      <w:r w:rsidR="009A1065">
        <w:t>high</w:t>
      </w:r>
      <w:r w:rsidR="00827ED4">
        <w:t xml:space="preserve"> </w:t>
      </w:r>
      <w:r w:rsidR="00DF71C3">
        <w:t xml:space="preserve">participation </w:t>
      </w:r>
      <w:r w:rsidR="00827ED4">
        <w:t xml:space="preserve">rates </w:t>
      </w:r>
      <w:r w:rsidR="00DF71C3">
        <w:t xml:space="preserve">in </w:t>
      </w:r>
      <w:r>
        <w:t>level 1 to 3 certificate study.  From 2005 to 2013,</w:t>
      </w:r>
      <w:r w:rsidR="009F1A28">
        <w:t xml:space="preserve"> </w:t>
      </w:r>
      <w:r>
        <w:t xml:space="preserve">the participation rate in level 1 to 3 certificates by </w:t>
      </w:r>
      <w:proofErr w:type="spellStart"/>
      <w:r>
        <w:t>Māori</w:t>
      </w:r>
      <w:proofErr w:type="spellEnd"/>
      <w:r>
        <w:t xml:space="preserve"> aged 25 years and over</w:t>
      </w:r>
      <w:r w:rsidR="009F1A28">
        <w:t xml:space="preserve"> </w:t>
      </w:r>
      <w:r w:rsidR="0028500F">
        <w:t xml:space="preserve">decreased strongly (down from 12 percent </w:t>
      </w:r>
      <w:r w:rsidR="00474F80">
        <w:t>to 6.0 percent</w:t>
      </w:r>
      <w:r w:rsidR="0028500F">
        <w:t>)</w:t>
      </w:r>
      <w:r w:rsidR="00474F80">
        <w:t>.</w:t>
      </w:r>
    </w:p>
    <w:p w:rsidR="00CA2E45" w:rsidRDefault="00C614AD" w:rsidP="009E1CAD">
      <w:pPr>
        <w:pStyle w:val="BodyText"/>
      </w:pPr>
      <w:r>
        <w:t>While t</w:t>
      </w:r>
      <w:r w:rsidR="003A1141">
        <w:t>he participation rate</w:t>
      </w:r>
      <w:r w:rsidR="00827ED4">
        <w:t>s</w:t>
      </w:r>
      <w:r w:rsidR="003A1141">
        <w:t xml:space="preserve"> in non-degree qualifications </w:t>
      </w:r>
      <w:r w:rsidR="00714B48">
        <w:t xml:space="preserve">in the early 2000s </w:t>
      </w:r>
      <w:r w:rsidR="000114F6">
        <w:t xml:space="preserve">were considerably lower among </w:t>
      </w:r>
      <w:r>
        <w:t xml:space="preserve">the </w:t>
      </w:r>
      <w:proofErr w:type="spellStart"/>
      <w:r>
        <w:t>Pasifika</w:t>
      </w:r>
      <w:proofErr w:type="spellEnd"/>
      <w:r>
        <w:t>, European</w:t>
      </w:r>
      <w:r w:rsidR="000114F6">
        <w:t xml:space="preserve"> and Asian populations </w:t>
      </w:r>
      <w:r w:rsidR="00714B48">
        <w:t xml:space="preserve">aged 25 years and over </w:t>
      </w:r>
      <w:r>
        <w:t xml:space="preserve">than </w:t>
      </w:r>
      <w:r w:rsidR="00E106DE">
        <w:t xml:space="preserve">among </w:t>
      </w:r>
      <w:r>
        <w:t xml:space="preserve">the </w:t>
      </w:r>
      <w:r w:rsidR="00714B48">
        <w:t xml:space="preserve">comparable </w:t>
      </w:r>
      <w:proofErr w:type="spellStart"/>
      <w:r w:rsidR="00862D85">
        <w:t>Māori</w:t>
      </w:r>
      <w:proofErr w:type="spellEnd"/>
      <w:r w:rsidR="00862D85">
        <w:t xml:space="preserve"> population, these rates</w:t>
      </w:r>
      <w:r>
        <w:t xml:space="preserve"> </w:t>
      </w:r>
      <w:r w:rsidR="00714B48">
        <w:t xml:space="preserve">also </w:t>
      </w:r>
      <w:r>
        <w:t xml:space="preserve">increased </w:t>
      </w:r>
      <w:r w:rsidR="00714B48">
        <w:t xml:space="preserve">until the mid-2000s. </w:t>
      </w:r>
      <w:r w:rsidR="00DF1570">
        <w:t>Since</w:t>
      </w:r>
      <w:r w:rsidR="006E0517">
        <w:t xml:space="preserve"> 2005</w:t>
      </w:r>
      <w:r w:rsidR="00DF1570">
        <w:t>, the participation rates in lower-level qualifications have become lower for all ethnic groups due mainly to the government reviews of the relevance of these qualifications</w:t>
      </w:r>
      <w:r w:rsidR="002B515D">
        <w:t>.</w:t>
      </w:r>
    </w:p>
    <w:p w:rsidR="00A44CC8" w:rsidRDefault="00A44CC8" w:rsidP="00A44CC8">
      <w:pPr>
        <w:pStyle w:val="Heading4"/>
      </w:pPr>
      <w:r>
        <w:t>Participation in non-degree qualifications by people aged 25 years and over</w:t>
      </w:r>
    </w:p>
    <w:p w:rsidR="00714B48" w:rsidRDefault="00714B48" w:rsidP="00A140A7">
      <w:pPr>
        <w:pStyle w:val="BodyText"/>
      </w:pPr>
      <w:r>
        <w:t xml:space="preserve">In </w:t>
      </w:r>
      <w:r w:rsidR="00D605CB">
        <w:t>2013</w:t>
      </w:r>
      <w:r>
        <w:t xml:space="preserve">, the participation rate of </w:t>
      </w:r>
      <w:r w:rsidR="0075475E">
        <w:t>Europeans</w:t>
      </w:r>
      <w:r w:rsidR="00862D85">
        <w:t xml:space="preserve"> aged 25 years and over</w:t>
      </w:r>
      <w:r>
        <w:t xml:space="preserve"> in non-degree </w:t>
      </w:r>
      <w:r w:rsidR="00CA6711">
        <w:t>study</w:t>
      </w:r>
      <w:r w:rsidR="00B4798E">
        <w:t xml:space="preserve"> was 2.9</w:t>
      </w:r>
      <w:r>
        <w:t xml:space="preserve"> percent</w:t>
      </w:r>
      <w:r w:rsidR="00B4798E">
        <w:t>, down from 5.1</w:t>
      </w:r>
      <w:r w:rsidR="00474F80">
        <w:t xml:space="preserve"> percent in </w:t>
      </w:r>
      <w:r w:rsidR="00D605CB">
        <w:t>2003</w:t>
      </w:r>
      <w:r w:rsidR="00474F80">
        <w:t>.</w:t>
      </w:r>
    </w:p>
    <w:p w:rsidR="008017BA" w:rsidRDefault="008017BA" w:rsidP="009E1CAD">
      <w:pPr>
        <w:pStyle w:val="BodyText"/>
      </w:pPr>
      <w:r>
        <w:t xml:space="preserve">In </w:t>
      </w:r>
      <w:r w:rsidR="00D605CB">
        <w:t>2013</w:t>
      </w:r>
      <w:r>
        <w:t xml:space="preserve">, the participation rate of </w:t>
      </w:r>
      <w:proofErr w:type="spellStart"/>
      <w:r>
        <w:t>Māori</w:t>
      </w:r>
      <w:proofErr w:type="spellEnd"/>
      <w:r>
        <w:t xml:space="preserve"> aged 25 years and over in non-degree study was 11 percent, down from 1</w:t>
      </w:r>
      <w:r w:rsidR="00B4798E">
        <w:t>9</w:t>
      </w:r>
      <w:r>
        <w:t xml:space="preserve"> percent in </w:t>
      </w:r>
      <w:r w:rsidR="00D605CB">
        <w:t>2003</w:t>
      </w:r>
      <w:r>
        <w:t>.</w:t>
      </w:r>
    </w:p>
    <w:p w:rsidR="00862D85" w:rsidRDefault="00862D85" w:rsidP="009E1CAD">
      <w:pPr>
        <w:pStyle w:val="BodyText"/>
      </w:pPr>
      <w:r>
        <w:t xml:space="preserve">In </w:t>
      </w:r>
      <w:r w:rsidR="00D605CB">
        <w:t>2013</w:t>
      </w:r>
      <w:r>
        <w:t xml:space="preserve">, the participation rate of </w:t>
      </w:r>
      <w:proofErr w:type="spellStart"/>
      <w:r>
        <w:t>Pasifika</w:t>
      </w:r>
      <w:proofErr w:type="spellEnd"/>
      <w:r>
        <w:t xml:space="preserve"> aged 25 years and over in non-degree </w:t>
      </w:r>
      <w:r w:rsidR="00CA6711">
        <w:t>study</w:t>
      </w:r>
      <w:r>
        <w:t xml:space="preserve"> was </w:t>
      </w:r>
      <w:r w:rsidR="00B4798E">
        <w:t>6.8</w:t>
      </w:r>
      <w:r>
        <w:t xml:space="preserve"> percent</w:t>
      </w:r>
      <w:r w:rsidR="00B4798E">
        <w:t>, down from 8.5</w:t>
      </w:r>
      <w:r w:rsidR="00474F80">
        <w:t xml:space="preserve"> percent in </w:t>
      </w:r>
      <w:r w:rsidR="00D605CB">
        <w:t>2003</w:t>
      </w:r>
      <w:r w:rsidR="00474F80">
        <w:t>.</w:t>
      </w:r>
    </w:p>
    <w:p w:rsidR="00D1212F" w:rsidRDefault="00862D85" w:rsidP="009E1CAD">
      <w:pPr>
        <w:pStyle w:val="BodyText"/>
      </w:pPr>
      <w:r>
        <w:t xml:space="preserve">In </w:t>
      </w:r>
      <w:r w:rsidR="00D605CB">
        <w:t>2013</w:t>
      </w:r>
      <w:r w:rsidR="0075475E">
        <w:t>, the participation rate of</w:t>
      </w:r>
      <w:r w:rsidR="008017BA">
        <w:t xml:space="preserve"> </w:t>
      </w:r>
      <w:r w:rsidR="0075475E">
        <w:t>Asians</w:t>
      </w:r>
      <w:r>
        <w:t xml:space="preserve"> aged 25 years and over in non-degree </w:t>
      </w:r>
      <w:r w:rsidR="00CA6711">
        <w:t xml:space="preserve">study </w:t>
      </w:r>
      <w:r w:rsidR="00B4798E">
        <w:t>was 3.8</w:t>
      </w:r>
      <w:r>
        <w:t xml:space="preserve"> percent</w:t>
      </w:r>
      <w:r w:rsidR="00B4798E">
        <w:t>, down from 11</w:t>
      </w:r>
      <w:r w:rsidR="00474F80">
        <w:t xml:space="preserve"> percent in </w:t>
      </w:r>
      <w:r w:rsidR="00D605CB">
        <w:t>2003</w:t>
      </w:r>
      <w:r w:rsidR="00474F80">
        <w:t>.</w:t>
      </w:r>
    </w:p>
    <w:p w:rsidR="00474F80" w:rsidRDefault="00474F80" w:rsidP="00474F80">
      <w:pPr>
        <w:pStyle w:val="Heading4"/>
      </w:pPr>
      <w:r>
        <w:t>Participation in degree and higher qualifications by people aged 25 years and over</w:t>
      </w:r>
    </w:p>
    <w:p w:rsidR="00474F80" w:rsidRDefault="00474F80" w:rsidP="00A140A7">
      <w:pPr>
        <w:pStyle w:val="BodyText"/>
      </w:pPr>
      <w:r>
        <w:t xml:space="preserve">The participation rate of </w:t>
      </w:r>
      <w:r w:rsidR="0075475E">
        <w:t xml:space="preserve">Europeans </w:t>
      </w:r>
      <w:r>
        <w:t>aged 25 years and over in degree and higher qualifications was 2.</w:t>
      </w:r>
      <w:r w:rsidR="00B4798E">
        <w:t>1</w:t>
      </w:r>
      <w:r>
        <w:t xml:space="preserve"> percent in </w:t>
      </w:r>
      <w:r w:rsidR="00D605CB">
        <w:t>2013</w:t>
      </w:r>
      <w:r w:rsidR="00B4798E">
        <w:t>, down from 2.6</w:t>
      </w:r>
      <w:r>
        <w:t xml:space="preserve"> percent in </w:t>
      </w:r>
      <w:r w:rsidR="00D605CB">
        <w:t>2003</w:t>
      </w:r>
      <w:r>
        <w:t>.</w:t>
      </w:r>
    </w:p>
    <w:p w:rsidR="00474F80" w:rsidRDefault="00474F80" w:rsidP="009E1CAD">
      <w:pPr>
        <w:pStyle w:val="BodyText"/>
      </w:pPr>
      <w:r>
        <w:t xml:space="preserve">The participation rate of </w:t>
      </w:r>
      <w:proofErr w:type="spellStart"/>
      <w:r>
        <w:t>Māori</w:t>
      </w:r>
      <w:proofErr w:type="spellEnd"/>
      <w:r>
        <w:t xml:space="preserve"> aged 25 years and over in degree and higher </w:t>
      </w:r>
      <w:r w:rsidR="00B4798E">
        <w:t>was 3.3 percent in 2013</w:t>
      </w:r>
      <w:r>
        <w:t xml:space="preserve">, </w:t>
      </w:r>
      <w:r w:rsidR="00B4798E">
        <w:t>down from</w:t>
      </w:r>
      <w:r>
        <w:t xml:space="preserve"> 3.</w:t>
      </w:r>
      <w:r w:rsidR="00B4798E">
        <w:t>8</w:t>
      </w:r>
      <w:r>
        <w:t xml:space="preserve"> percent</w:t>
      </w:r>
      <w:r w:rsidR="00B4798E">
        <w:t xml:space="preserve"> in 2003</w:t>
      </w:r>
      <w:r>
        <w:t>.</w:t>
      </w:r>
    </w:p>
    <w:p w:rsidR="00474F80" w:rsidRDefault="0075475E" w:rsidP="009E1CAD">
      <w:pPr>
        <w:pStyle w:val="BodyText"/>
      </w:pPr>
      <w:r>
        <w:t xml:space="preserve">The participation rate of </w:t>
      </w:r>
      <w:proofErr w:type="spellStart"/>
      <w:r w:rsidR="00474F80">
        <w:t>Pasifika</w:t>
      </w:r>
      <w:proofErr w:type="spellEnd"/>
      <w:r w:rsidR="00474F80">
        <w:t xml:space="preserve"> aged 25 years and over in degree and higher qualifications was 3.2 percent in </w:t>
      </w:r>
      <w:r w:rsidR="00D605CB">
        <w:t>2013</w:t>
      </w:r>
      <w:r w:rsidR="00B4798E">
        <w:t>, up from 3.0</w:t>
      </w:r>
      <w:r w:rsidR="00474F80">
        <w:t xml:space="preserve"> percent in </w:t>
      </w:r>
      <w:r w:rsidR="00D605CB">
        <w:t>2003</w:t>
      </w:r>
      <w:r w:rsidR="00474F80">
        <w:t>.</w:t>
      </w:r>
    </w:p>
    <w:p w:rsidR="00474F80" w:rsidRDefault="0075475E" w:rsidP="009E1CAD">
      <w:pPr>
        <w:pStyle w:val="BodyText"/>
      </w:pPr>
      <w:r>
        <w:t xml:space="preserve">The participation rate of Asians </w:t>
      </w:r>
      <w:r w:rsidR="00474F80">
        <w:t>aged 25 years and over in degree and higher qualifications was 3.</w:t>
      </w:r>
      <w:r w:rsidR="00B4798E">
        <w:t>0</w:t>
      </w:r>
      <w:r w:rsidR="00474F80">
        <w:t xml:space="preserve"> percent in </w:t>
      </w:r>
      <w:r w:rsidR="00D605CB">
        <w:t>2013</w:t>
      </w:r>
      <w:r w:rsidR="00474F80">
        <w:t>, down from 4.</w:t>
      </w:r>
      <w:r w:rsidR="00B4798E">
        <w:t>2</w:t>
      </w:r>
      <w:r w:rsidR="00474F80">
        <w:t xml:space="preserve"> percent in </w:t>
      </w:r>
      <w:r w:rsidR="00D605CB">
        <w:t>2003</w:t>
      </w:r>
      <w:r w:rsidR="00474F80">
        <w:t>.</w:t>
      </w:r>
    </w:p>
    <w:p w:rsidR="00D13A34" w:rsidRDefault="00D13A34" w:rsidP="00A140A7">
      <w:pPr>
        <w:pStyle w:val="BodyText"/>
        <w:sectPr w:rsidR="00D13A34" w:rsidSect="00CB74F5">
          <w:footerReference w:type="even" r:id="rId31"/>
          <w:footerReference w:type="default" r:id="rId32"/>
          <w:pgSz w:w="11906" w:h="16838" w:code="9"/>
          <w:pgMar w:top="1418" w:right="1701" w:bottom="1134" w:left="1701" w:header="709" w:footer="709" w:gutter="0"/>
          <w:pgNumType w:start="1"/>
          <w:cols w:space="709"/>
          <w:docGrid w:linePitch="360"/>
        </w:sectPr>
      </w:pPr>
    </w:p>
    <w:tbl>
      <w:tblPr>
        <w:tblW w:w="10788" w:type="dxa"/>
        <w:tblInd w:w="1" w:type="dxa"/>
        <w:tblLayout w:type="fixed"/>
        <w:tblCellMar>
          <w:left w:w="0" w:type="dxa"/>
          <w:right w:w="0" w:type="dxa"/>
        </w:tblCellMar>
        <w:tblLook w:val="04A0"/>
      </w:tblPr>
      <w:tblGrid>
        <w:gridCol w:w="1912"/>
        <w:gridCol w:w="547"/>
        <w:gridCol w:w="554"/>
        <w:gridCol w:w="550"/>
        <w:gridCol w:w="557"/>
        <w:gridCol w:w="557"/>
        <w:gridCol w:w="559"/>
        <w:gridCol w:w="559"/>
        <w:gridCol w:w="550"/>
        <w:gridCol w:w="561"/>
        <w:gridCol w:w="559"/>
        <w:gridCol w:w="559"/>
        <w:gridCol w:w="559"/>
        <w:gridCol w:w="559"/>
        <w:gridCol w:w="561"/>
        <w:gridCol w:w="561"/>
        <w:gridCol w:w="524"/>
      </w:tblGrid>
      <w:tr w:rsidR="007333AE" w:rsidTr="006B4E05">
        <w:trPr>
          <w:trHeight w:val="286"/>
        </w:trPr>
        <w:tc>
          <w:tcPr>
            <w:tcW w:w="10788" w:type="dxa"/>
            <w:gridSpan w:val="17"/>
            <w:tcBorders>
              <w:top w:val="single" w:sz="4" w:space="0" w:color="3366FF"/>
              <w:left w:val="single" w:sz="4" w:space="0" w:color="3366FF"/>
              <w:bottom w:val="nil"/>
              <w:right w:val="single" w:sz="4" w:space="0" w:color="3366FF"/>
            </w:tcBorders>
            <w:shd w:val="clear" w:color="auto" w:fill="auto"/>
            <w:noWrap/>
            <w:vAlign w:val="center"/>
            <w:hideMark/>
          </w:tcPr>
          <w:p w:rsidR="007333AE" w:rsidRDefault="007333AE" w:rsidP="007333AE">
            <w:pPr>
              <w:rPr>
                <w:rFonts w:ascii="Arial" w:hAnsi="Arial" w:cs="Arial"/>
                <w:b/>
                <w:bCs/>
                <w:sz w:val="18"/>
                <w:szCs w:val="18"/>
              </w:rPr>
            </w:pPr>
            <w:bookmarkStart w:id="60" w:name="RANGE!A1"/>
            <w:r>
              <w:rPr>
                <w:rFonts w:ascii="Arial" w:hAnsi="Arial" w:cs="Arial"/>
                <w:b/>
                <w:bCs/>
                <w:sz w:val="18"/>
                <w:szCs w:val="18"/>
              </w:rPr>
              <w:lastRenderedPageBreak/>
              <w:t xml:space="preserve">Table 8.3: New Zealand's total tertiary education students by selected characteristics </w:t>
            </w:r>
            <w:bookmarkEnd w:id="60"/>
          </w:p>
        </w:tc>
      </w:tr>
      <w:tr w:rsidR="007333AE" w:rsidTr="006B4E05">
        <w:trPr>
          <w:trHeight w:val="272"/>
        </w:trPr>
        <w:tc>
          <w:tcPr>
            <w:tcW w:w="1912" w:type="dxa"/>
            <w:tcBorders>
              <w:top w:val="nil"/>
              <w:left w:val="single" w:sz="4" w:space="0" w:color="3366FF"/>
              <w:bottom w:val="nil"/>
              <w:right w:val="nil"/>
            </w:tcBorders>
            <w:shd w:val="clear" w:color="auto" w:fill="auto"/>
            <w:noWrap/>
            <w:vAlign w:val="center"/>
            <w:hideMark/>
          </w:tcPr>
          <w:p w:rsidR="007333AE" w:rsidRDefault="007333AE" w:rsidP="007333AE">
            <w:pPr>
              <w:rPr>
                <w:rFonts w:ascii="Arial" w:hAnsi="Arial" w:cs="Arial"/>
                <w:b/>
                <w:bCs/>
                <w:sz w:val="14"/>
                <w:szCs w:val="14"/>
              </w:rPr>
            </w:pPr>
            <w:r>
              <w:rPr>
                <w:rFonts w:ascii="Arial" w:hAnsi="Arial" w:cs="Arial"/>
                <w:b/>
                <w:bCs/>
                <w:sz w:val="14"/>
                <w:szCs w:val="14"/>
              </w:rPr>
              <w:t> </w:t>
            </w:r>
          </w:p>
        </w:tc>
        <w:tc>
          <w:tcPr>
            <w:tcW w:w="4433" w:type="dxa"/>
            <w:gridSpan w:val="8"/>
            <w:tcBorders>
              <w:top w:val="nil"/>
              <w:left w:val="nil"/>
              <w:bottom w:val="nil"/>
              <w:right w:val="single" w:sz="4" w:space="0" w:color="3366FF"/>
            </w:tcBorders>
            <w:shd w:val="clear" w:color="auto" w:fill="auto"/>
            <w:noWrap/>
            <w:vAlign w:val="center"/>
            <w:hideMark/>
          </w:tcPr>
          <w:p w:rsidR="007333AE" w:rsidRDefault="007333AE" w:rsidP="007333AE">
            <w:pPr>
              <w:jc w:val="center"/>
              <w:rPr>
                <w:rFonts w:ascii="Arial" w:hAnsi="Arial" w:cs="Arial"/>
                <w:b/>
                <w:bCs/>
                <w:sz w:val="14"/>
                <w:szCs w:val="14"/>
              </w:rPr>
            </w:pPr>
            <w:r>
              <w:rPr>
                <w:rFonts w:ascii="Arial" w:hAnsi="Arial" w:cs="Arial"/>
                <w:b/>
                <w:bCs/>
                <w:sz w:val="14"/>
                <w:szCs w:val="14"/>
              </w:rPr>
              <w:t>Student enrolments</w:t>
            </w:r>
          </w:p>
        </w:tc>
        <w:tc>
          <w:tcPr>
            <w:tcW w:w="4443" w:type="dxa"/>
            <w:gridSpan w:val="8"/>
            <w:tcBorders>
              <w:top w:val="nil"/>
              <w:left w:val="nil"/>
              <w:bottom w:val="nil"/>
              <w:right w:val="single" w:sz="4" w:space="0" w:color="3366FF"/>
            </w:tcBorders>
            <w:shd w:val="clear" w:color="auto" w:fill="auto"/>
            <w:noWrap/>
            <w:vAlign w:val="center"/>
            <w:hideMark/>
          </w:tcPr>
          <w:p w:rsidR="007333AE" w:rsidRDefault="007333AE" w:rsidP="007333AE">
            <w:pPr>
              <w:jc w:val="center"/>
              <w:rPr>
                <w:rFonts w:ascii="Arial" w:hAnsi="Arial" w:cs="Arial"/>
                <w:b/>
                <w:bCs/>
                <w:sz w:val="14"/>
                <w:szCs w:val="14"/>
              </w:rPr>
            </w:pPr>
            <w:r>
              <w:rPr>
                <w:rFonts w:ascii="Arial" w:hAnsi="Arial" w:cs="Arial"/>
                <w:b/>
                <w:bCs/>
                <w:sz w:val="14"/>
                <w:szCs w:val="14"/>
              </w:rPr>
              <w:t>Equivalent full-time students</w:t>
            </w:r>
          </w:p>
        </w:tc>
      </w:tr>
      <w:tr w:rsidR="00700C9C" w:rsidTr="006B4E05">
        <w:trPr>
          <w:trHeight w:val="20"/>
        </w:trPr>
        <w:tc>
          <w:tcPr>
            <w:tcW w:w="1912" w:type="dxa"/>
            <w:tcBorders>
              <w:top w:val="nil"/>
              <w:left w:val="single" w:sz="4" w:space="0" w:color="3366FF"/>
              <w:bottom w:val="nil"/>
              <w:right w:val="nil"/>
            </w:tcBorders>
            <w:shd w:val="clear" w:color="auto" w:fill="auto"/>
            <w:vAlign w:val="bottom"/>
            <w:hideMark/>
          </w:tcPr>
          <w:p w:rsidR="00700C9C" w:rsidRDefault="00700C9C" w:rsidP="007333AE">
            <w:pPr>
              <w:rPr>
                <w:rFonts w:ascii="Arial" w:hAnsi="Arial" w:cs="Arial"/>
                <w:b/>
                <w:bCs/>
                <w:sz w:val="14"/>
                <w:szCs w:val="14"/>
              </w:rPr>
            </w:pPr>
            <w:r>
              <w:rPr>
                <w:rFonts w:ascii="Arial" w:hAnsi="Arial" w:cs="Arial"/>
                <w:b/>
                <w:bCs/>
                <w:sz w:val="14"/>
                <w:szCs w:val="14"/>
              </w:rPr>
              <w:t>Type of qualification</w:t>
            </w:r>
          </w:p>
        </w:tc>
        <w:tc>
          <w:tcPr>
            <w:tcW w:w="547"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2003</w:t>
            </w:r>
          </w:p>
        </w:tc>
        <w:tc>
          <w:tcPr>
            <w:tcW w:w="554"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2008</w:t>
            </w:r>
          </w:p>
        </w:tc>
        <w:tc>
          <w:tcPr>
            <w:tcW w:w="550"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2009</w:t>
            </w:r>
          </w:p>
        </w:tc>
        <w:tc>
          <w:tcPr>
            <w:tcW w:w="557"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2010</w:t>
            </w:r>
          </w:p>
        </w:tc>
        <w:tc>
          <w:tcPr>
            <w:tcW w:w="557"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2011</w:t>
            </w:r>
          </w:p>
        </w:tc>
        <w:tc>
          <w:tcPr>
            <w:tcW w:w="559"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2012</w:t>
            </w:r>
          </w:p>
        </w:tc>
        <w:tc>
          <w:tcPr>
            <w:tcW w:w="559"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2013</w:t>
            </w:r>
          </w:p>
        </w:tc>
        <w:tc>
          <w:tcPr>
            <w:tcW w:w="550" w:type="dxa"/>
            <w:tcBorders>
              <w:top w:val="nil"/>
              <w:left w:val="nil"/>
              <w:bottom w:val="nil"/>
              <w:right w:val="single" w:sz="4" w:space="0" w:color="3366FF"/>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 xml:space="preserve">Change </w:t>
            </w:r>
            <w:r>
              <w:rPr>
                <w:rFonts w:ascii="Arial" w:hAnsi="Arial" w:cs="Arial"/>
                <w:sz w:val="14"/>
                <w:szCs w:val="14"/>
              </w:rPr>
              <w:br/>
              <w:t>12-13</w:t>
            </w:r>
          </w:p>
        </w:tc>
        <w:tc>
          <w:tcPr>
            <w:tcW w:w="561"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2003</w:t>
            </w:r>
          </w:p>
        </w:tc>
        <w:tc>
          <w:tcPr>
            <w:tcW w:w="559"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2008</w:t>
            </w:r>
          </w:p>
        </w:tc>
        <w:tc>
          <w:tcPr>
            <w:tcW w:w="559"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2009</w:t>
            </w:r>
          </w:p>
        </w:tc>
        <w:tc>
          <w:tcPr>
            <w:tcW w:w="559"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2010</w:t>
            </w:r>
          </w:p>
        </w:tc>
        <w:tc>
          <w:tcPr>
            <w:tcW w:w="559"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2011</w:t>
            </w:r>
          </w:p>
        </w:tc>
        <w:tc>
          <w:tcPr>
            <w:tcW w:w="561"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2012</w:t>
            </w:r>
          </w:p>
        </w:tc>
        <w:tc>
          <w:tcPr>
            <w:tcW w:w="561" w:type="dxa"/>
            <w:tcBorders>
              <w:top w:val="nil"/>
              <w:left w:val="nil"/>
              <w:bottom w:val="nil"/>
              <w:right w:val="nil"/>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2013</w:t>
            </w:r>
          </w:p>
        </w:tc>
        <w:tc>
          <w:tcPr>
            <w:tcW w:w="524" w:type="dxa"/>
            <w:tcBorders>
              <w:top w:val="nil"/>
              <w:left w:val="nil"/>
              <w:bottom w:val="nil"/>
              <w:right w:val="single" w:sz="4" w:space="0" w:color="3366FF"/>
            </w:tcBorders>
            <w:shd w:val="clear" w:color="auto" w:fill="auto"/>
            <w:hideMark/>
          </w:tcPr>
          <w:p w:rsidR="00700C9C" w:rsidRDefault="00700C9C">
            <w:pPr>
              <w:jc w:val="center"/>
              <w:rPr>
                <w:rFonts w:ascii="Arial" w:hAnsi="Arial" w:cs="Arial"/>
                <w:sz w:val="14"/>
                <w:szCs w:val="14"/>
              </w:rPr>
            </w:pPr>
            <w:r>
              <w:rPr>
                <w:rFonts w:ascii="Arial" w:hAnsi="Arial" w:cs="Arial"/>
                <w:sz w:val="14"/>
                <w:szCs w:val="14"/>
              </w:rPr>
              <w:t xml:space="preserve">Change </w:t>
            </w:r>
            <w:r>
              <w:rPr>
                <w:rFonts w:ascii="Arial" w:hAnsi="Arial" w:cs="Arial"/>
                <w:sz w:val="14"/>
                <w:szCs w:val="14"/>
              </w:rPr>
              <w:br/>
              <w:t>12-13</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rsidP="007333AE">
            <w:pPr>
              <w:rPr>
                <w:rFonts w:ascii="Arial" w:hAnsi="Arial" w:cs="Arial"/>
                <w:sz w:val="14"/>
                <w:szCs w:val="14"/>
              </w:rPr>
            </w:pPr>
            <w:r>
              <w:rPr>
                <w:rFonts w:ascii="Arial" w:hAnsi="Arial" w:cs="Arial"/>
                <w:sz w:val="14"/>
                <w:szCs w:val="14"/>
              </w:rPr>
              <w:t>Formal &gt; 0.03 EFTS</w:t>
            </w:r>
            <w:r>
              <w:rPr>
                <w:rFonts w:ascii="Arial" w:hAnsi="Arial" w:cs="Arial"/>
                <w:sz w:val="14"/>
                <w:szCs w:val="14"/>
                <w:vertAlign w:val="superscript"/>
              </w:rPr>
              <w:t>1</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454,699</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458,575</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466,526</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463,921</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429,670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420,769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417,516</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-0.8%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275,830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262,335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280,303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285,149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277,969</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278,635</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278,158</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-0.2%</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rsidP="007333AE">
            <w:pPr>
              <w:rPr>
                <w:rFonts w:ascii="Arial" w:hAnsi="Arial" w:cs="Arial"/>
                <w:sz w:val="14"/>
                <w:szCs w:val="14"/>
              </w:rPr>
            </w:pPr>
            <w:r>
              <w:rPr>
                <w:rFonts w:ascii="Arial" w:hAnsi="Arial" w:cs="Arial"/>
                <w:sz w:val="14"/>
                <w:szCs w:val="14"/>
              </w:rPr>
              <w:t>Formal  ≤ 0.03 EFTS</w:t>
            </w:r>
            <w:r>
              <w:rPr>
                <w:rFonts w:ascii="Arial" w:hAnsi="Arial" w:cs="Arial"/>
                <w:sz w:val="14"/>
                <w:szCs w:val="14"/>
                <w:vertAlign w:val="superscript"/>
              </w:rPr>
              <w:t>2</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73,741</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38,945</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40,380</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35,167</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25,351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24,137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21,157</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-12.3%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2,598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2,146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2,459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2,247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1,874</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1,799</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1,557</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-13.4%</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rsidP="007333AE">
            <w:pPr>
              <w:rPr>
                <w:rFonts w:ascii="Arial" w:hAnsi="Arial" w:cs="Arial"/>
                <w:sz w:val="14"/>
                <w:szCs w:val="14"/>
              </w:rPr>
            </w:pPr>
            <w:r>
              <w:rPr>
                <w:rFonts w:ascii="Arial" w:hAnsi="Arial" w:cs="Arial"/>
                <w:sz w:val="14"/>
                <w:szCs w:val="14"/>
              </w:rPr>
              <w:t xml:space="preserve">Informal </w:t>
            </w:r>
            <w:r>
              <w:rPr>
                <w:rFonts w:ascii="Arial" w:hAnsi="Arial" w:cs="Arial"/>
                <w:sz w:val="14"/>
                <w:szCs w:val="14"/>
                <w:vertAlign w:val="superscript"/>
              </w:rPr>
              <w:t>3</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278,435</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85,034</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83,367</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73,709</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56,730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52,480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43,770</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-16.6%</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22,418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5,618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5,369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5,190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3,929</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3,742</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3,874</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3.5%</w:t>
            </w:r>
          </w:p>
        </w:tc>
      </w:tr>
      <w:tr w:rsidR="007333AE" w:rsidTr="006B4E05">
        <w:trPr>
          <w:trHeight w:val="227"/>
        </w:trPr>
        <w:tc>
          <w:tcPr>
            <w:tcW w:w="10788" w:type="dxa"/>
            <w:gridSpan w:val="17"/>
            <w:tcBorders>
              <w:top w:val="single" w:sz="4" w:space="0" w:color="3366FF"/>
              <w:left w:val="single" w:sz="4" w:space="0" w:color="3366FF"/>
              <w:bottom w:val="single" w:sz="4" w:space="0" w:color="3366FF"/>
              <w:right w:val="single" w:sz="4" w:space="0" w:color="3366FF"/>
            </w:tcBorders>
            <w:shd w:val="clear" w:color="auto" w:fill="auto"/>
            <w:noWrap/>
            <w:vAlign w:val="bottom"/>
            <w:hideMark/>
          </w:tcPr>
          <w:p w:rsidR="007333AE" w:rsidRDefault="007333AE" w:rsidP="007333AE">
            <w:pPr>
              <w:jc w:val="center"/>
              <w:rPr>
                <w:rFonts w:ascii="Arial" w:hAnsi="Arial" w:cs="Arial"/>
                <w:sz w:val="14"/>
                <w:szCs w:val="14"/>
              </w:rPr>
            </w:pPr>
            <w:r>
              <w:rPr>
                <w:rFonts w:ascii="Arial" w:hAnsi="Arial" w:cs="Arial"/>
                <w:sz w:val="14"/>
                <w:szCs w:val="14"/>
              </w:rPr>
              <w:t>All students enrolled in formal qualifications &gt; 0.03 EFTS</w:t>
            </w:r>
            <w:r>
              <w:rPr>
                <w:rFonts w:ascii="Arial" w:hAnsi="Arial" w:cs="Arial"/>
                <w:sz w:val="14"/>
                <w:szCs w:val="14"/>
                <w:vertAlign w:val="superscript"/>
              </w:rPr>
              <w:t>1</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Certificates 1-3</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164,703</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156,897</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149,026</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136,410</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111,936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107,764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109,292</w:t>
            </w:r>
          </w:p>
        </w:tc>
        <w:tc>
          <w:tcPr>
            <w:tcW w:w="550" w:type="dxa"/>
            <w:tcBorders>
              <w:top w:val="nil"/>
              <w:left w:val="nil"/>
              <w:bottom w:val="nil"/>
              <w:right w:val="single" w:sz="4" w:space="0" w:color="538ED5"/>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62,504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55,644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57,010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55,228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52,061</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51,091</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54,368</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6.4%</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Certificates 4</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74,619</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79,315</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78,792</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76,425</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66,698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66,145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63,464</w:t>
            </w:r>
          </w:p>
        </w:tc>
        <w:tc>
          <w:tcPr>
            <w:tcW w:w="550" w:type="dxa"/>
            <w:tcBorders>
              <w:top w:val="nil"/>
              <w:left w:val="nil"/>
              <w:bottom w:val="nil"/>
              <w:right w:val="single" w:sz="4" w:space="0" w:color="538ED5"/>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-4.1%</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36,696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32,478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35,472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34,139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31,974</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31,958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31,058</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-2.8%</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Diplomas 5-7</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76,296</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72,187</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77,647</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80,435</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75,539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68,298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63,751</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-6.7%</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41,852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36,271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39,694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40,213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37,861</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36,396</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33,973</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-6.7%</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proofErr w:type="spellStart"/>
            <w:r>
              <w:rPr>
                <w:rFonts w:ascii="Arial" w:hAnsi="Arial" w:cs="Arial"/>
                <w:sz w:val="14"/>
                <w:szCs w:val="14"/>
              </w:rPr>
              <w:t>Bachelors</w:t>
            </w:r>
            <w:proofErr w:type="spellEnd"/>
            <w:r>
              <w:rPr>
                <w:rFonts w:ascii="Arial" w:hAnsi="Arial" w:cs="Arial"/>
                <w:sz w:val="14"/>
                <w:szCs w:val="14"/>
              </w:rPr>
              <w:t xml:space="preserve"> degrees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132,586</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134,755</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141,889</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146,518</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146,927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149,240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147,722</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104,400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105,246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110,792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116,209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117,854</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120,815</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119,644</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-1.0%</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 xml:space="preserve">Graduate </w:t>
            </w:r>
            <w:proofErr w:type="spellStart"/>
            <w:r>
              <w:rPr>
                <w:rFonts w:ascii="Arial" w:hAnsi="Arial" w:cs="Arial"/>
                <w:sz w:val="14"/>
                <w:szCs w:val="14"/>
              </w:rPr>
              <w:t>certs</w:t>
            </w:r>
            <w:proofErr w:type="spellEnd"/>
            <w:r>
              <w:rPr>
                <w:rFonts w:ascii="Arial" w:hAnsi="Arial" w:cs="Arial"/>
                <w:sz w:val="14"/>
                <w:szCs w:val="14"/>
              </w:rPr>
              <w:t>/dips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15,107</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14,049</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15,229</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15,145</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14,006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13,699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13,704</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0.0%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6,934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6,246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7,364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7,658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6,877</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6,750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6,630</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-1.8%</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 xml:space="preserve">Honours/post. </w:t>
            </w:r>
            <w:proofErr w:type="spellStart"/>
            <w:r>
              <w:rPr>
                <w:rFonts w:ascii="Arial" w:hAnsi="Arial" w:cs="Arial"/>
                <w:sz w:val="14"/>
                <w:szCs w:val="14"/>
              </w:rPr>
              <w:t>certs</w:t>
            </w:r>
            <w:proofErr w:type="spellEnd"/>
            <w:r>
              <w:rPr>
                <w:rFonts w:ascii="Arial" w:hAnsi="Arial" w:cs="Arial"/>
                <w:sz w:val="14"/>
                <w:szCs w:val="14"/>
              </w:rPr>
              <w:t>/dips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18,361</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22,882</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26,199</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27,375</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26,421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26,132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26,390</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12,197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14,102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16,625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17,691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16,986</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16,784</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17,249</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2.8%</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Masters degrees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12,725</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12,451</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13,183</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13,896</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14,109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14,317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14,840</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3.7%</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7,708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6,922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7,351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7,776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7,886</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8,283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8,568</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3.4%</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Doctoral degrees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4,269</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6,729</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7,410</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7,962</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8,270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8,470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8,706</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3,539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5,427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5,996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6,235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6,470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6,557</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6,668</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1.7%</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b/>
                <w:bCs/>
                <w:sz w:val="14"/>
                <w:szCs w:val="14"/>
              </w:rPr>
            </w:pPr>
            <w:r>
              <w:rPr>
                <w:rFonts w:ascii="Arial" w:hAnsi="Arial" w:cs="Arial"/>
                <w:b/>
                <w:bCs/>
                <w:sz w:val="14"/>
                <w:szCs w:val="14"/>
              </w:rPr>
              <w:t>Age group</w:t>
            </w:r>
          </w:p>
        </w:tc>
        <w:tc>
          <w:tcPr>
            <w:tcW w:w="547"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FF0000"/>
                <w:sz w:val="14"/>
                <w:szCs w:val="14"/>
              </w:rPr>
            </w:pP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 </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FF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FF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 </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Under 18 years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17,362</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18,012</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16,762</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15,768</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14,915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14,713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18,926</w:t>
            </w:r>
          </w:p>
        </w:tc>
        <w:tc>
          <w:tcPr>
            <w:tcW w:w="550" w:type="dxa"/>
            <w:tcBorders>
              <w:top w:val="nil"/>
              <w:left w:val="nil"/>
              <w:bottom w:val="nil"/>
              <w:right w:val="single" w:sz="4" w:space="0" w:color="538ED5"/>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28.6%</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11,793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10,810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10,433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10,223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10,148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9,833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12,799</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30.2%</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18 to 19 years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56,511</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62,682</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67,942</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69,389</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67,580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68,111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68,455</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0.5%</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47,756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52,485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57,285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58,521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57,592</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58,944</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59,579</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1.1%</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20 to 24 years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119,691</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117,339</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124,895</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131,548</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130,776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130,526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129,549</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-0.7%</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91,608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85,711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92,901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97,975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98,781</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99,959</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99,201</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-0.8%</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25 to 39 years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150,902</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135,505</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137,827</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135,835</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123,743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118,498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115,193</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76,930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65,002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69,895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70,558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67,360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66,641</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64,726</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-2.9%</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40 years and over</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110,068</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125,037</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119,100</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111,381</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92,656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88,921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85,393</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47,696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48,328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49,789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47,872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44,088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43,258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41,853</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-3.2%</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b/>
                <w:bCs/>
                <w:sz w:val="14"/>
                <w:szCs w:val="14"/>
              </w:rPr>
            </w:pPr>
            <w:r>
              <w:rPr>
                <w:rFonts w:ascii="Arial" w:hAnsi="Arial" w:cs="Arial"/>
                <w:b/>
                <w:bCs/>
                <w:sz w:val="14"/>
                <w:szCs w:val="14"/>
              </w:rPr>
              <w:t xml:space="preserve">Females / Males </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FF0000"/>
                <w:sz w:val="14"/>
                <w:szCs w:val="14"/>
              </w:rPr>
            </w:pP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FF0000"/>
                <w:sz w:val="14"/>
                <w:szCs w:val="14"/>
              </w:rPr>
            </w:pP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 </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FF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FF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 </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Female</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255,860</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251,998</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257,801</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255,920</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241,484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236,730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234,086</w:t>
            </w:r>
          </w:p>
        </w:tc>
        <w:tc>
          <w:tcPr>
            <w:tcW w:w="550" w:type="dxa"/>
            <w:tcBorders>
              <w:top w:val="nil"/>
              <w:left w:val="nil"/>
              <w:bottom w:val="nil"/>
              <w:right w:val="single" w:sz="4" w:space="0" w:color="538ED5"/>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157,463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148,429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158,192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160,211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156,983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157,213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156,340</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-0.6%</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Male</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198,839</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206,577</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208,725</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208,001</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188,186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184,039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183,430</w:t>
            </w:r>
          </w:p>
        </w:tc>
        <w:tc>
          <w:tcPr>
            <w:tcW w:w="550" w:type="dxa"/>
            <w:tcBorders>
              <w:top w:val="nil"/>
              <w:left w:val="nil"/>
              <w:bottom w:val="nil"/>
              <w:right w:val="single" w:sz="4" w:space="0" w:color="538ED5"/>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-0.3%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118,366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113,906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122,112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124,938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120,986</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121,422</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121,818</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0.3%</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b/>
                <w:bCs/>
                <w:sz w:val="14"/>
                <w:szCs w:val="14"/>
              </w:rPr>
            </w:pPr>
            <w:r>
              <w:rPr>
                <w:rFonts w:ascii="Arial" w:hAnsi="Arial" w:cs="Arial"/>
                <w:b/>
                <w:bCs/>
                <w:sz w:val="14"/>
                <w:szCs w:val="14"/>
              </w:rPr>
              <w:t>Common fields of study</w:t>
            </w:r>
          </w:p>
        </w:tc>
        <w:tc>
          <w:tcPr>
            <w:tcW w:w="547" w:type="dxa"/>
            <w:tcBorders>
              <w:top w:val="nil"/>
              <w:left w:val="nil"/>
              <w:bottom w:val="nil"/>
              <w:right w:val="nil"/>
            </w:tcBorders>
            <w:shd w:val="clear" w:color="auto" w:fill="auto"/>
            <w:noWrap/>
            <w:vAlign w:val="bottom"/>
            <w:hideMark/>
          </w:tcPr>
          <w:p w:rsidR="00700C9C" w:rsidRDefault="00700C9C">
            <w:pPr>
              <w:rPr>
                <w:rFonts w:ascii="Arial" w:hAnsi="Arial" w:cs="Arial"/>
                <w:color w:val="FF0000"/>
                <w:sz w:val="14"/>
                <w:szCs w:val="14"/>
              </w:rPr>
            </w:pPr>
          </w:p>
        </w:tc>
        <w:tc>
          <w:tcPr>
            <w:tcW w:w="554" w:type="dxa"/>
            <w:tcBorders>
              <w:top w:val="nil"/>
              <w:left w:val="nil"/>
              <w:bottom w:val="nil"/>
              <w:right w:val="nil"/>
            </w:tcBorders>
            <w:shd w:val="clear" w:color="auto" w:fill="auto"/>
            <w:noWrap/>
            <w:vAlign w:val="bottom"/>
            <w:hideMark/>
          </w:tcPr>
          <w:p w:rsidR="00700C9C" w:rsidRDefault="00700C9C">
            <w:pPr>
              <w:rPr>
                <w:rFonts w:ascii="Arial" w:hAnsi="Arial" w:cs="Arial"/>
                <w:color w:val="FF0000"/>
                <w:sz w:val="14"/>
                <w:szCs w:val="14"/>
              </w:rPr>
            </w:pPr>
          </w:p>
        </w:tc>
        <w:tc>
          <w:tcPr>
            <w:tcW w:w="550"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57"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57"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 </w:t>
            </w:r>
          </w:p>
        </w:tc>
        <w:tc>
          <w:tcPr>
            <w:tcW w:w="561" w:type="dxa"/>
            <w:tcBorders>
              <w:top w:val="nil"/>
              <w:left w:val="nil"/>
              <w:bottom w:val="nil"/>
              <w:right w:val="nil"/>
            </w:tcBorders>
            <w:shd w:val="clear" w:color="auto" w:fill="auto"/>
            <w:noWrap/>
            <w:vAlign w:val="bottom"/>
            <w:hideMark/>
          </w:tcPr>
          <w:p w:rsidR="00700C9C" w:rsidRDefault="00700C9C">
            <w:pPr>
              <w:rPr>
                <w:rFonts w:ascii="Arial" w:hAnsi="Arial" w:cs="Arial"/>
                <w:color w:val="FF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rPr>
                <w:rFonts w:ascii="Arial" w:hAnsi="Arial" w:cs="Arial"/>
                <w:color w:val="FF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61"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61" w:type="dxa"/>
            <w:tcBorders>
              <w:top w:val="nil"/>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 </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Business &amp; management</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71,833</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71,810</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75,756</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76,454</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73,687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70,540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67,210</w:t>
            </w:r>
          </w:p>
        </w:tc>
        <w:tc>
          <w:tcPr>
            <w:tcW w:w="550" w:type="dxa"/>
            <w:tcBorders>
              <w:top w:val="nil"/>
              <w:left w:val="nil"/>
              <w:bottom w:val="nil"/>
              <w:right w:val="single" w:sz="4" w:space="0" w:color="538ED5"/>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-4.7%</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17,080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20,084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21,425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21,452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20,830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21,068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19,878</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-5.6%</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Language &amp; literature</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68,747</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52,805</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53,842</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52,109</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48,415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47,484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48,788</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2.7%</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32,103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21,156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21,542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20,537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19,193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19,105</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18,627</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-2.5%</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Studies in human society</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35,724</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48,578</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53,232</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54,350</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49,802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50,224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47,979</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-4.5%</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9,906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13,509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14,462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15,253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14,310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14,168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13,444</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-5.1%</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Teacher education</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38,474</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26,984</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29,533</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30,054</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27,972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26,071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23,313</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-10.6%</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13,324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13,326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15,121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15,178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14,230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13,755</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12,167</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-11.5%</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Nursing</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11,434</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13,470</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14,473</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15,116</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15,766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16,571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16,881</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1.9%</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5,962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6,808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7,448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8,116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8,789</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9,270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9,185</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-0.9%</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Biological sciences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19,003</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21,705</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23,623</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24,600</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24,649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24,543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24,835</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6,413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7,779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8,191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8,592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8,700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8,710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8,812</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1.2%</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Law</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31,092</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26,085</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25,259</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25,168</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23,942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22,792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22,364</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-1.9%</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8,055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7,541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7,655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7,726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7,543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7,379</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7,454</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1.0%</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rsidP="00700C9C">
            <w:pPr>
              <w:rPr>
                <w:rFonts w:ascii="Arial" w:hAnsi="Arial" w:cs="Arial"/>
                <w:sz w:val="14"/>
                <w:szCs w:val="14"/>
              </w:rPr>
            </w:pPr>
            <w:r>
              <w:rPr>
                <w:rFonts w:ascii="Arial" w:hAnsi="Arial" w:cs="Arial"/>
                <w:sz w:val="14"/>
                <w:szCs w:val="14"/>
              </w:rPr>
              <w:t xml:space="preserve">Communication &amp; media </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31,760</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29,608</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32,569</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32,133</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28,400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28,143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27,727</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6,762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7,010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7,552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7,756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7,542</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7,348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7,136</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-2.9%</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Computer science</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36,407</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24,176</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27,271</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27,736</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26,190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22,571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23,038</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8,241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5,475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6,407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7,001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6,928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6,757</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6,873</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1.7%</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Accountancy</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37,138</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29,332</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31,861</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31,477</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30,444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28,625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28,485</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-0.5%</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7,586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6,482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7,076</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6,984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6,902</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6,739</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6,820</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1.2%</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Other fields of study</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649,309</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601,974</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619,923</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624,238</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571,954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556,412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563,210</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160,399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153,167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163,424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166,555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163,003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164,335</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167,762</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2.1%</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b/>
                <w:bCs/>
                <w:sz w:val="14"/>
                <w:szCs w:val="14"/>
              </w:rPr>
            </w:pPr>
            <w:r>
              <w:rPr>
                <w:rFonts w:ascii="Arial" w:hAnsi="Arial" w:cs="Arial"/>
                <w:b/>
                <w:bCs/>
                <w:sz w:val="14"/>
                <w:szCs w:val="14"/>
              </w:rPr>
              <w:t>Sub-sector</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 </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 </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Universities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175,187</w:t>
            </w:r>
          </w:p>
        </w:tc>
        <w:tc>
          <w:tcPr>
            <w:tcW w:w="554"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168,616</w:t>
            </w:r>
          </w:p>
        </w:tc>
        <w:tc>
          <w:tcPr>
            <w:tcW w:w="550"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177,147</w:t>
            </w:r>
          </w:p>
        </w:tc>
        <w:tc>
          <w:tcPr>
            <w:tcW w:w="557"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178,999</w:t>
            </w:r>
          </w:p>
        </w:tc>
        <w:tc>
          <w:tcPr>
            <w:tcW w:w="557"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175,705</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175,343</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173,153</w:t>
            </w:r>
          </w:p>
        </w:tc>
        <w:tc>
          <w:tcPr>
            <w:tcW w:w="550" w:type="dxa"/>
            <w:tcBorders>
              <w:top w:val="nil"/>
              <w:left w:val="nil"/>
              <w:bottom w:val="nil"/>
              <w:right w:val="single" w:sz="4" w:space="0" w:color="538ED5"/>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129,878</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126,362</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133,962</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136,729</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133,354</w:t>
            </w:r>
          </w:p>
        </w:tc>
        <w:tc>
          <w:tcPr>
            <w:tcW w:w="561"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134,242</w:t>
            </w:r>
          </w:p>
        </w:tc>
        <w:tc>
          <w:tcPr>
            <w:tcW w:w="561"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132,553</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-1.3%</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Polytechnics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168,796</w:t>
            </w:r>
          </w:p>
        </w:tc>
        <w:tc>
          <w:tcPr>
            <w:tcW w:w="554"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195,604</w:t>
            </w:r>
          </w:p>
        </w:tc>
        <w:tc>
          <w:tcPr>
            <w:tcW w:w="550"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190,164</w:t>
            </w:r>
          </w:p>
        </w:tc>
        <w:tc>
          <w:tcPr>
            <w:tcW w:w="557"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185,424</w:t>
            </w:r>
          </w:p>
        </w:tc>
        <w:tc>
          <w:tcPr>
            <w:tcW w:w="557"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155,651</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151,456</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143,916</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69,358</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72,278</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77,651</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79,952</w:t>
            </w:r>
          </w:p>
        </w:tc>
        <w:tc>
          <w:tcPr>
            <w:tcW w:w="559"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77,785</w:t>
            </w:r>
          </w:p>
        </w:tc>
        <w:tc>
          <w:tcPr>
            <w:tcW w:w="561"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79,797</w:t>
            </w:r>
          </w:p>
        </w:tc>
        <w:tc>
          <w:tcPr>
            <w:tcW w:w="561" w:type="dxa"/>
            <w:tcBorders>
              <w:top w:val="nil"/>
              <w:left w:val="nil"/>
              <w:bottom w:val="nil"/>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76,430</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-4.2%</w:t>
            </w:r>
          </w:p>
        </w:tc>
      </w:tr>
      <w:tr w:rsidR="00700C9C" w:rsidTr="006B4E05">
        <w:trPr>
          <w:trHeight w:val="227"/>
        </w:trPr>
        <w:tc>
          <w:tcPr>
            <w:tcW w:w="1912" w:type="dxa"/>
            <w:tcBorders>
              <w:top w:val="nil"/>
              <w:left w:val="single" w:sz="4" w:space="0" w:color="3366FF"/>
              <w:bottom w:val="single" w:sz="4" w:space="0" w:color="3366FF"/>
              <w:right w:val="nil"/>
            </w:tcBorders>
            <w:shd w:val="clear" w:color="auto" w:fill="auto"/>
            <w:noWrap/>
            <w:vAlign w:val="bottom"/>
            <w:hideMark/>
          </w:tcPr>
          <w:p w:rsidR="00700C9C" w:rsidRDefault="00700C9C">
            <w:pPr>
              <w:rPr>
                <w:rFonts w:ascii="Arial" w:hAnsi="Arial" w:cs="Arial"/>
                <w:sz w:val="14"/>
                <w:szCs w:val="14"/>
              </w:rPr>
            </w:pPr>
            <w:proofErr w:type="spellStart"/>
            <w:r>
              <w:rPr>
                <w:rFonts w:ascii="Arial" w:hAnsi="Arial" w:cs="Arial"/>
                <w:sz w:val="14"/>
                <w:szCs w:val="14"/>
              </w:rPr>
              <w:t>Wānanga</w:t>
            </w:r>
            <w:proofErr w:type="spellEnd"/>
          </w:p>
        </w:tc>
        <w:tc>
          <w:tcPr>
            <w:tcW w:w="547" w:type="dxa"/>
            <w:tcBorders>
              <w:top w:val="nil"/>
              <w:left w:val="nil"/>
              <w:bottom w:val="single" w:sz="4" w:space="0" w:color="3366FF"/>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65,145</w:t>
            </w:r>
          </w:p>
        </w:tc>
        <w:tc>
          <w:tcPr>
            <w:tcW w:w="554"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40,321</w:t>
            </w:r>
          </w:p>
        </w:tc>
        <w:tc>
          <w:tcPr>
            <w:tcW w:w="550"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42,550</w:t>
            </w:r>
          </w:p>
        </w:tc>
        <w:tc>
          <w:tcPr>
            <w:tcW w:w="557"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42,274</w:t>
            </w:r>
          </w:p>
        </w:tc>
        <w:tc>
          <w:tcPr>
            <w:tcW w:w="557"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38,623</w:t>
            </w:r>
          </w:p>
        </w:tc>
        <w:tc>
          <w:tcPr>
            <w:tcW w:w="559"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39,143</w:t>
            </w:r>
          </w:p>
        </w:tc>
        <w:tc>
          <w:tcPr>
            <w:tcW w:w="559"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38,974</w:t>
            </w:r>
          </w:p>
        </w:tc>
        <w:tc>
          <w:tcPr>
            <w:tcW w:w="550" w:type="dxa"/>
            <w:tcBorders>
              <w:top w:val="nil"/>
              <w:left w:val="nil"/>
              <w:bottom w:val="single" w:sz="4" w:space="0" w:color="3366FF"/>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-0.4%</w:t>
            </w:r>
          </w:p>
        </w:tc>
        <w:tc>
          <w:tcPr>
            <w:tcW w:w="561" w:type="dxa"/>
            <w:tcBorders>
              <w:top w:val="nil"/>
              <w:left w:val="nil"/>
              <w:bottom w:val="single" w:sz="4" w:space="0" w:color="3366FF"/>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37,097</w:t>
            </w:r>
          </w:p>
        </w:tc>
        <w:tc>
          <w:tcPr>
            <w:tcW w:w="559"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22,578</w:t>
            </w:r>
          </w:p>
        </w:tc>
        <w:tc>
          <w:tcPr>
            <w:tcW w:w="559"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25,133</w:t>
            </w:r>
          </w:p>
        </w:tc>
        <w:tc>
          <w:tcPr>
            <w:tcW w:w="559"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25,838</w:t>
            </w:r>
          </w:p>
        </w:tc>
        <w:tc>
          <w:tcPr>
            <w:tcW w:w="559"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24,669</w:t>
            </w:r>
          </w:p>
        </w:tc>
        <w:tc>
          <w:tcPr>
            <w:tcW w:w="561"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24,733</w:t>
            </w:r>
          </w:p>
        </w:tc>
        <w:tc>
          <w:tcPr>
            <w:tcW w:w="561" w:type="dxa"/>
            <w:tcBorders>
              <w:top w:val="nil"/>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25,058</w:t>
            </w:r>
          </w:p>
        </w:tc>
        <w:tc>
          <w:tcPr>
            <w:tcW w:w="524" w:type="dxa"/>
            <w:tcBorders>
              <w:top w:val="nil"/>
              <w:left w:val="nil"/>
              <w:bottom w:val="single" w:sz="4" w:space="0" w:color="3366FF"/>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1.3%</w:t>
            </w:r>
          </w:p>
        </w:tc>
      </w:tr>
      <w:tr w:rsidR="00700C9C" w:rsidTr="006B4E05">
        <w:trPr>
          <w:trHeight w:val="227"/>
        </w:trPr>
        <w:tc>
          <w:tcPr>
            <w:tcW w:w="1912" w:type="dxa"/>
            <w:tcBorders>
              <w:top w:val="single" w:sz="4" w:space="0" w:color="3366FF"/>
              <w:left w:val="single" w:sz="4" w:space="0" w:color="3366FF"/>
              <w:bottom w:val="single" w:sz="4" w:space="0" w:color="3366FF"/>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Public providers</w:t>
            </w:r>
          </w:p>
        </w:tc>
        <w:tc>
          <w:tcPr>
            <w:tcW w:w="547" w:type="dxa"/>
            <w:tcBorders>
              <w:top w:val="single" w:sz="4" w:space="0" w:color="3366FF"/>
              <w:left w:val="nil"/>
              <w:bottom w:val="single" w:sz="4" w:space="0" w:color="3366FF"/>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393,343</w:t>
            </w:r>
          </w:p>
        </w:tc>
        <w:tc>
          <w:tcPr>
            <w:tcW w:w="554"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393,813</w:t>
            </w:r>
          </w:p>
        </w:tc>
        <w:tc>
          <w:tcPr>
            <w:tcW w:w="550"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399,272</w:t>
            </w:r>
          </w:p>
        </w:tc>
        <w:tc>
          <w:tcPr>
            <w:tcW w:w="557"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396,992</w:t>
            </w:r>
          </w:p>
        </w:tc>
        <w:tc>
          <w:tcPr>
            <w:tcW w:w="557"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362,247</w:t>
            </w:r>
          </w:p>
        </w:tc>
        <w:tc>
          <w:tcPr>
            <w:tcW w:w="559"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358,241</w:t>
            </w:r>
          </w:p>
        </w:tc>
        <w:tc>
          <w:tcPr>
            <w:tcW w:w="559"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349,199</w:t>
            </w:r>
          </w:p>
        </w:tc>
        <w:tc>
          <w:tcPr>
            <w:tcW w:w="550" w:type="dxa"/>
            <w:tcBorders>
              <w:top w:val="single" w:sz="4" w:space="0" w:color="3366FF"/>
              <w:left w:val="nil"/>
              <w:bottom w:val="single" w:sz="4" w:space="0" w:color="3366FF"/>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-2.5%</w:t>
            </w:r>
          </w:p>
        </w:tc>
        <w:tc>
          <w:tcPr>
            <w:tcW w:w="561" w:type="dxa"/>
            <w:tcBorders>
              <w:top w:val="single" w:sz="4" w:space="0" w:color="3366FF"/>
              <w:left w:val="nil"/>
              <w:bottom w:val="single" w:sz="4" w:space="0" w:color="3366FF"/>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236,333</w:t>
            </w:r>
          </w:p>
        </w:tc>
        <w:tc>
          <w:tcPr>
            <w:tcW w:w="559"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221,217</w:t>
            </w:r>
          </w:p>
        </w:tc>
        <w:tc>
          <w:tcPr>
            <w:tcW w:w="559"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236,746</w:t>
            </w:r>
          </w:p>
        </w:tc>
        <w:tc>
          <w:tcPr>
            <w:tcW w:w="559"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242,519</w:t>
            </w:r>
          </w:p>
        </w:tc>
        <w:tc>
          <w:tcPr>
            <w:tcW w:w="559"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235,808</w:t>
            </w:r>
          </w:p>
        </w:tc>
        <w:tc>
          <w:tcPr>
            <w:tcW w:w="561"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238,772</w:t>
            </w:r>
          </w:p>
        </w:tc>
        <w:tc>
          <w:tcPr>
            <w:tcW w:w="561" w:type="dxa"/>
            <w:tcBorders>
              <w:top w:val="single" w:sz="4" w:space="0" w:color="3366FF"/>
              <w:left w:val="nil"/>
              <w:bottom w:val="single" w:sz="4" w:space="0" w:color="3366FF"/>
              <w:right w:val="nil"/>
            </w:tcBorders>
            <w:shd w:val="clear" w:color="auto" w:fill="auto"/>
            <w:noWrap/>
            <w:vAlign w:val="bottom"/>
            <w:hideMark/>
          </w:tcPr>
          <w:p w:rsidR="00700C9C" w:rsidRPr="00700C9C" w:rsidRDefault="00700C9C">
            <w:pPr>
              <w:jc w:val="right"/>
              <w:rPr>
                <w:rFonts w:ascii="Arial" w:hAnsi="Arial" w:cs="Arial"/>
                <w:sz w:val="14"/>
                <w:szCs w:val="14"/>
              </w:rPr>
            </w:pPr>
            <w:r w:rsidRPr="00700C9C">
              <w:rPr>
                <w:rFonts w:ascii="Arial" w:hAnsi="Arial" w:cs="Arial"/>
                <w:sz w:val="14"/>
                <w:szCs w:val="14"/>
              </w:rPr>
              <w:t>234,040</w:t>
            </w:r>
          </w:p>
        </w:tc>
        <w:tc>
          <w:tcPr>
            <w:tcW w:w="524" w:type="dxa"/>
            <w:tcBorders>
              <w:top w:val="single" w:sz="4" w:space="0" w:color="3366FF"/>
              <w:left w:val="nil"/>
              <w:bottom w:val="single" w:sz="4" w:space="0" w:color="3366FF"/>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-2.0%</w:t>
            </w:r>
          </w:p>
        </w:tc>
      </w:tr>
      <w:tr w:rsidR="00700C9C" w:rsidTr="006B4E05">
        <w:trPr>
          <w:trHeight w:val="227"/>
        </w:trPr>
        <w:tc>
          <w:tcPr>
            <w:tcW w:w="1912" w:type="dxa"/>
            <w:tcBorders>
              <w:top w:val="single" w:sz="4" w:space="0" w:color="3366FF"/>
              <w:left w:val="single" w:sz="4" w:space="0" w:color="3366FF"/>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Private training establishments</w:t>
            </w:r>
          </w:p>
        </w:tc>
        <w:tc>
          <w:tcPr>
            <w:tcW w:w="547"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73949</w:t>
            </w:r>
          </w:p>
        </w:tc>
        <w:tc>
          <w:tcPr>
            <w:tcW w:w="554"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74032</w:t>
            </w:r>
          </w:p>
        </w:tc>
        <w:tc>
          <w:tcPr>
            <w:tcW w:w="550"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76847</w:t>
            </w:r>
          </w:p>
        </w:tc>
        <w:tc>
          <w:tcPr>
            <w:tcW w:w="557"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75985</w:t>
            </w:r>
          </w:p>
        </w:tc>
        <w:tc>
          <w:tcPr>
            <w:tcW w:w="557"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74774</w:t>
            </w:r>
          </w:p>
        </w:tc>
        <w:tc>
          <w:tcPr>
            <w:tcW w:w="559"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69137</w:t>
            </w:r>
          </w:p>
        </w:tc>
        <w:tc>
          <w:tcPr>
            <w:tcW w:w="559"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75079</w:t>
            </w:r>
          </w:p>
        </w:tc>
        <w:tc>
          <w:tcPr>
            <w:tcW w:w="550" w:type="dxa"/>
            <w:tcBorders>
              <w:top w:val="single" w:sz="4" w:space="0" w:color="3366FF"/>
              <w:left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8.6%</w:t>
            </w:r>
          </w:p>
        </w:tc>
        <w:tc>
          <w:tcPr>
            <w:tcW w:w="561"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39496.2</w:t>
            </w:r>
          </w:p>
        </w:tc>
        <w:tc>
          <w:tcPr>
            <w:tcW w:w="559"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41,118</w:t>
            </w:r>
          </w:p>
        </w:tc>
        <w:tc>
          <w:tcPr>
            <w:tcW w:w="559"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43,558</w:t>
            </w:r>
          </w:p>
        </w:tc>
        <w:tc>
          <w:tcPr>
            <w:tcW w:w="559"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42,630</w:t>
            </w:r>
          </w:p>
        </w:tc>
        <w:tc>
          <w:tcPr>
            <w:tcW w:w="559"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42,161</w:t>
            </w:r>
          </w:p>
        </w:tc>
        <w:tc>
          <w:tcPr>
            <w:tcW w:w="561"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39,863</w:t>
            </w:r>
          </w:p>
        </w:tc>
        <w:tc>
          <w:tcPr>
            <w:tcW w:w="561" w:type="dxa"/>
            <w:tcBorders>
              <w:top w:val="single" w:sz="4" w:space="0" w:color="3366FF"/>
              <w:left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44,118</w:t>
            </w:r>
          </w:p>
        </w:tc>
        <w:tc>
          <w:tcPr>
            <w:tcW w:w="524" w:type="dxa"/>
            <w:tcBorders>
              <w:top w:val="single" w:sz="4" w:space="0" w:color="3366FF"/>
              <w:left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10.7%</w:t>
            </w:r>
          </w:p>
        </w:tc>
      </w:tr>
      <w:tr w:rsidR="00700C9C" w:rsidTr="006B4E05">
        <w:trPr>
          <w:trHeight w:val="227"/>
        </w:trPr>
        <w:tc>
          <w:tcPr>
            <w:tcW w:w="1912" w:type="dxa"/>
            <w:tcBorders>
              <w:left w:val="single" w:sz="4" w:space="0" w:color="3366FF"/>
              <w:bottom w:val="nil"/>
              <w:right w:val="nil"/>
            </w:tcBorders>
            <w:shd w:val="clear" w:color="auto" w:fill="auto"/>
            <w:noWrap/>
            <w:vAlign w:val="bottom"/>
            <w:hideMark/>
          </w:tcPr>
          <w:p w:rsidR="00700C9C" w:rsidRDefault="00700C9C">
            <w:pPr>
              <w:rPr>
                <w:rFonts w:ascii="Arial" w:hAnsi="Arial" w:cs="Arial"/>
                <w:b/>
                <w:bCs/>
                <w:sz w:val="14"/>
                <w:szCs w:val="14"/>
              </w:rPr>
            </w:pPr>
            <w:r>
              <w:rPr>
                <w:rFonts w:ascii="Arial" w:hAnsi="Arial" w:cs="Arial"/>
                <w:b/>
                <w:bCs/>
                <w:sz w:val="14"/>
                <w:szCs w:val="14"/>
              </w:rPr>
              <w:t>Study type</w:t>
            </w:r>
          </w:p>
        </w:tc>
        <w:tc>
          <w:tcPr>
            <w:tcW w:w="547" w:type="dxa"/>
            <w:tcBorders>
              <w:left w:val="nil"/>
              <w:bottom w:val="nil"/>
              <w:right w:val="nil"/>
            </w:tcBorders>
            <w:shd w:val="clear" w:color="auto" w:fill="auto"/>
            <w:noWrap/>
            <w:vAlign w:val="bottom"/>
            <w:hideMark/>
          </w:tcPr>
          <w:p w:rsidR="00700C9C" w:rsidRPr="00B4798E" w:rsidRDefault="00700C9C">
            <w:pPr>
              <w:rPr>
                <w:rFonts w:ascii="Arial" w:hAnsi="Arial" w:cs="Arial"/>
                <w:sz w:val="14"/>
                <w:szCs w:val="14"/>
              </w:rPr>
            </w:pPr>
          </w:p>
        </w:tc>
        <w:tc>
          <w:tcPr>
            <w:tcW w:w="554" w:type="dxa"/>
            <w:tcBorders>
              <w:left w:val="nil"/>
              <w:bottom w:val="nil"/>
              <w:right w:val="nil"/>
            </w:tcBorders>
            <w:shd w:val="clear" w:color="auto" w:fill="auto"/>
            <w:noWrap/>
            <w:vAlign w:val="bottom"/>
            <w:hideMark/>
          </w:tcPr>
          <w:p w:rsidR="00700C9C" w:rsidRPr="00B4798E" w:rsidRDefault="00700C9C">
            <w:pPr>
              <w:rPr>
                <w:rFonts w:ascii="Arial" w:hAnsi="Arial" w:cs="Arial"/>
                <w:sz w:val="14"/>
                <w:szCs w:val="14"/>
              </w:rPr>
            </w:pPr>
          </w:p>
        </w:tc>
        <w:tc>
          <w:tcPr>
            <w:tcW w:w="550" w:type="dxa"/>
            <w:tcBorders>
              <w:left w:val="nil"/>
              <w:bottom w:val="nil"/>
              <w:right w:val="nil"/>
            </w:tcBorders>
            <w:shd w:val="clear" w:color="auto" w:fill="auto"/>
            <w:noWrap/>
            <w:vAlign w:val="bottom"/>
            <w:hideMark/>
          </w:tcPr>
          <w:p w:rsidR="00700C9C" w:rsidRPr="00B4798E" w:rsidRDefault="00700C9C">
            <w:pPr>
              <w:rPr>
                <w:rFonts w:ascii="Arial" w:hAnsi="Arial" w:cs="Arial"/>
                <w:sz w:val="14"/>
                <w:szCs w:val="14"/>
              </w:rPr>
            </w:pPr>
          </w:p>
        </w:tc>
        <w:tc>
          <w:tcPr>
            <w:tcW w:w="557" w:type="dxa"/>
            <w:tcBorders>
              <w:left w:val="nil"/>
              <w:bottom w:val="nil"/>
              <w:right w:val="nil"/>
            </w:tcBorders>
            <w:shd w:val="clear" w:color="auto" w:fill="auto"/>
            <w:noWrap/>
            <w:vAlign w:val="bottom"/>
            <w:hideMark/>
          </w:tcPr>
          <w:p w:rsidR="00700C9C" w:rsidRPr="00B4798E" w:rsidRDefault="00700C9C">
            <w:pPr>
              <w:rPr>
                <w:rFonts w:ascii="Arial" w:hAnsi="Arial" w:cs="Arial"/>
                <w:sz w:val="14"/>
                <w:szCs w:val="14"/>
              </w:rPr>
            </w:pPr>
          </w:p>
        </w:tc>
        <w:tc>
          <w:tcPr>
            <w:tcW w:w="557" w:type="dxa"/>
            <w:tcBorders>
              <w:left w:val="nil"/>
              <w:bottom w:val="nil"/>
              <w:right w:val="nil"/>
            </w:tcBorders>
            <w:shd w:val="clear" w:color="auto" w:fill="auto"/>
            <w:noWrap/>
            <w:vAlign w:val="bottom"/>
            <w:hideMark/>
          </w:tcPr>
          <w:p w:rsidR="00700C9C" w:rsidRPr="00B4798E" w:rsidRDefault="00700C9C">
            <w:pPr>
              <w:rPr>
                <w:rFonts w:ascii="Arial" w:hAnsi="Arial" w:cs="Arial"/>
                <w:sz w:val="14"/>
                <w:szCs w:val="14"/>
              </w:rPr>
            </w:pPr>
          </w:p>
        </w:tc>
        <w:tc>
          <w:tcPr>
            <w:tcW w:w="559" w:type="dxa"/>
            <w:tcBorders>
              <w:left w:val="nil"/>
              <w:bottom w:val="nil"/>
              <w:right w:val="nil"/>
            </w:tcBorders>
            <w:shd w:val="clear" w:color="auto" w:fill="auto"/>
            <w:noWrap/>
            <w:vAlign w:val="bottom"/>
            <w:hideMark/>
          </w:tcPr>
          <w:p w:rsidR="00700C9C" w:rsidRPr="00B4798E" w:rsidRDefault="00700C9C">
            <w:pPr>
              <w:rPr>
                <w:rFonts w:ascii="Arial" w:hAnsi="Arial" w:cs="Arial"/>
                <w:sz w:val="14"/>
                <w:szCs w:val="14"/>
              </w:rPr>
            </w:pPr>
          </w:p>
        </w:tc>
        <w:tc>
          <w:tcPr>
            <w:tcW w:w="559" w:type="dxa"/>
            <w:tcBorders>
              <w:left w:val="nil"/>
              <w:bottom w:val="nil"/>
              <w:right w:val="nil"/>
            </w:tcBorders>
            <w:shd w:val="clear" w:color="auto" w:fill="auto"/>
            <w:noWrap/>
            <w:vAlign w:val="bottom"/>
            <w:hideMark/>
          </w:tcPr>
          <w:p w:rsidR="00700C9C" w:rsidRPr="00B4798E" w:rsidRDefault="00700C9C">
            <w:pPr>
              <w:rPr>
                <w:rFonts w:ascii="Arial" w:hAnsi="Arial" w:cs="Arial"/>
                <w:sz w:val="14"/>
                <w:szCs w:val="14"/>
              </w:rPr>
            </w:pPr>
          </w:p>
        </w:tc>
        <w:tc>
          <w:tcPr>
            <w:tcW w:w="550" w:type="dxa"/>
            <w:tcBorders>
              <w:left w:val="nil"/>
              <w:bottom w:val="nil"/>
              <w:right w:val="single" w:sz="4" w:space="0" w:color="3366FF"/>
            </w:tcBorders>
            <w:shd w:val="clear" w:color="auto" w:fill="auto"/>
            <w:noWrap/>
            <w:vAlign w:val="bottom"/>
            <w:hideMark/>
          </w:tcPr>
          <w:p w:rsidR="00700C9C" w:rsidRPr="00B4798E" w:rsidRDefault="00700C9C">
            <w:pPr>
              <w:jc w:val="right"/>
              <w:rPr>
                <w:rFonts w:ascii="Arial" w:hAnsi="Arial" w:cs="Arial"/>
                <w:sz w:val="14"/>
                <w:szCs w:val="14"/>
              </w:rPr>
            </w:pPr>
            <w:r w:rsidRPr="00B4798E">
              <w:rPr>
                <w:rFonts w:ascii="Arial" w:hAnsi="Arial" w:cs="Arial"/>
                <w:sz w:val="14"/>
                <w:szCs w:val="14"/>
              </w:rPr>
              <w:t> </w:t>
            </w:r>
          </w:p>
        </w:tc>
        <w:tc>
          <w:tcPr>
            <w:tcW w:w="561" w:type="dxa"/>
            <w:tcBorders>
              <w:left w:val="nil"/>
              <w:bottom w:val="nil"/>
              <w:right w:val="nil"/>
            </w:tcBorders>
            <w:shd w:val="clear" w:color="auto" w:fill="auto"/>
            <w:noWrap/>
            <w:vAlign w:val="bottom"/>
            <w:hideMark/>
          </w:tcPr>
          <w:p w:rsidR="00700C9C" w:rsidRPr="00B4798E" w:rsidRDefault="00700C9C">
            <w:pPr>
              <w:rPr>
                <w:rFonts w:ascii="Arial" w:hAnsi="Arial" w:cs="Arial"/>
                <w:sz w:val="14"/>
                <w:szCs w:val="14"/>
              </w:rPr>
            </w:pPr>
          </w:p>
        </w:tc>
        <w:tc>
          <w:tcPr>
            <w:tcW w:w="559" w:type="dxa"/>
            <w:tcBorders>
              <w:left w:val="nil"/>
              <w:bottom w:val="nil"/>
              <w:right w:val="nil"/>
            </w:tcBorders>
            <w:shd w:val="clear" w:color="auto" w:fill="auto"/>
            <w:noWrap/>
            <w:vAlign w:val="bottom"/>
            <w:hideMark/>
          </w:tcPr>
          <w:p w:rsidR="00700C9C" w:rsidRPr="00B4798E" w:rsidRDefault="00700C9C">
            <w:pPr>
              <w:rPr>
                <w:rFonts w:ascii="Arial" w:hAnsi="Arial" w:cs="Arial"/>
                <w:sz w:val="14"/>
                <w:szCs w:val="14"/>
              </w:rPr>
            </w:pPr>
          </w:p>
        </w:tc>
        <w:tc>
          <w:tcPr>
            <w:tcW w:w="559" w:type="dxa"/>
            <w:tcBorders>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59" w:type="dxa"/>
            <w:tcBorders>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59" w:type="dxa"/>
            <w:tcBorders>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61" w:type="dxa"/>
            <w:tcBorders>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61" w:type="dxa"/>
            <w:tcBorders>
              <w:left w:val="nil"/>
              <w:bottom w:val="nil"/>
              <w:right w:val="nil"/>
            </w:tcBorders>
            <w:shd w:val="clear" w:color="auto" w:fill="auto"/>
            <w:noWrap/>
            <w:vAlign w:val="bottom"/>
            <w:hideMark/>
          </w:tcPr>
          <w:p w:rsidR="00700C9C" w:rsidRDefault="00700C9C">
            <w:pPr>
              <w:rPr>
                <w:rFonts w:ascii="Arial" w:hAnsi="Arial" w:cs="Arial"/>
                <w:sz w:val="14"/>
                <w:szCs w:val="14"/>
              </w:rPr>
            </w:pPr>
          </w:p>
        </w:tc>
        <w:tc>
          <w:tcPr>
            <w:tcW w:w="524" w:type="dxa"/>
            <w:tcBorders>
              <w:left w:val="nil"/>
              <w:bottom w:val="nil"/>
              <w:right w:val="single" w:sz="4" w:space="0" w:color="3366FF"/>
            </w:tcBorders>
            <w:shd w:val="clear" w:color="auto" w:fill="auto"/>
            <w:noWrap/>
            <w:vAlign w:val="bottom"/>
            <w:hideMark/>
          </w:tcPr>
          <w:p w:rsidR="00700C9C" w:rsidRDefault="00700C9C">
            <w:pPr>
              <w:ind w:firstLineChars="100" w:firstLine="140"/>
              <w:jc w:val="right"/>
              <w:rPr>
                <w:rFonts w:ascii="Arial" w:hAnsi="Arial" w:cs="Arial"/>
                <w:sz w:val="14"/>
                <w:szCs w:val="14"/>
              </w:rPr>
            </w:pPr>
            <w:r>
              <w:rPr>
                <w:rFonts w:ascii="Arial" w:hAnsi="Arial" w:cs="Arial"/>
                <w:sz w:val="14"/>
                <w:szCs w:val="14"/>
              </w:rPr>
              <w:t> </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Full-time full-year</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171,626</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159,237</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173102</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180232</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177824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180759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179535</w:t>
            </w:r>
          </w:p>
        </w:tc>
        <w:tc>
          <w:tcPr>
            <w:tcW w:w="550" w:type="dxa"/>
            <w:tcBorders>
              <w:top w:val="nil"/>
              <w:left w:val="nil"/>
              <w:bottom w:val="nil"/>
              <w:right w:val="single" w:sz="4" w:space="0" w:color="538ED5"/>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-0.7%</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184,500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167,999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182,927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189,162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186,193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189,133</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187,926</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-0.6%</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Full-time part-year</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67,585</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70,454</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77,204</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73,984</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73,553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72,102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73,112</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29,997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30,942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34,022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33,538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35,781</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35,361</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36,126</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2.2%</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Part-time full-year</w:t>
            </w:r>
          </w:p>
        </w:tc>
        <w:tc>
          <w:tcPr>
            <w:tcW w:w="547" w:type="dxa"/>
            <w:tcBorders>
              <w:top w:val="nil"/>
              <w:left w:val="nil"/>
              <w:bottom w:val="nil"/>
              <w:right w:val="nil"/>
            </w:tcBorders>
            <w:shd w:val="clear" w:color="auto" w:fill="auto"/>
            <w:noWrap/>
            <w:vAlign w:val="bottom"/>
            <w:hideMark/>
          </w:tcPr>
          <w:p w:rsidR="00700C9C" w:rsidRPr="008E1189" w:rsidRDefault="00700C9C">
            <w:pPr>
              <w:jc w:val="right"/>
              <w:rPr>
                <w:rFonts w:ascii="Arial" w:hAnsi="Arial" w:cs="Arial"/>
                <w:sz w:val="14"/>
                <w:szCs w:val="14"/>
              </w:rPr>
            </w:pPr>
            <w:r w:rsidRPr="008E1189">
              <w:rPr>
                <w:rFonts w:ascii="Arial" w:hAnsi="Arial" w:cs="Arial"/>
                <w:sz w:val="14"/>
                <w:szCs w:val="14"/>
              </w:rPr>
              <w:t>104,755</w:t>
            </w:r>
          </w:p>
        </w:tc>
        <w:tc>
          <w:tcPr>
            <w:tcW w:w="554" w:type="dxa"/>
            <w:tcBorders>
              <w:top w:val="nil"/>
              <w:left w:val="nil"/>
              <w:bottom w:val="nil"/>
              <w:right w:val="nil"/>
            </w:tcBorders>
            <w:shd w:val="clear" w:color="auto" w:fill="auto"/>
            <w:noWrap/>
            <w:vAlign w:val="bottom"/>
            <w:hideMark/>
          </w:tcPr>
          <w:p w:rsidR="00700C9C" w:rsidRPr="008E1189" w:rsidRDefault="00700C9C">
            <w:pPr>
              <w:jc w:val="right"/>
              <w:rPr>
                <w:rFonts w:ascii="Arial" w:hAnsi="Arial" w:cs="Arial"/>
                <w:sz w:val="14"/>
                <w:szCs w:val="14"/>
              </w:rPr>
            </w:pPr>
            <w:r w:rsidRPr="008E1189">
              <w:rPr>
                <w:rFonts w:ascii="Arial" w:hAnsi="Arial" w:cs="Arial"/>
                <w:sz w:val="14"/>
                <w:szCs w:val="14"/>
              </w:rPr>
              <w:t>98,463</w:t>
            </w:r>
          </w:p>
        </w:tc>
        <w:tc>
          <w:tcPr>
            <w:tcW w:w="550" w:type="dxa"/>
            <w:tcBorders>
              <w:top w:val="nil"/>
              <w:left w:val="nil"/>
              <w:bottom w:val="nil"/>
              <w:right w:val="nil"/>
            </w:tcBorders>
            <w:shd w:val="clear" w:color="auto" w:fill="auto"/>
            <w:noWrap/>
            <w:vAlign w:val="bottom"/>
            <w:hideMark/>
          </w:tcPr>
          <w:p w:rsidR="00700C9C" w:rsidRPr="008E1189" w:rsidRDefault="00700C9C">
            <w:pPr>
              <w:jc w:val="right"/>
              <w:rPr>
                <w:rFonts w:ascii="Arial" w:hAnsi="Arial" w:cs="Arial"/>
                <w:sz w:val="14"/>
                <w:szCs w:val="14"/>
              </w:rPr>
            </w:pPr>
            <w:r w:rsidRPr="008E1189">
              <w:rPr>
                <w:rFonts w:ascii="Arial" w:hAnsi="Arial" w:cs="Arial"/>
                <w:sz w:val="14"/>
                <w:szCs w:val="14"/>
              </w:rPr>
              <w:t>96,224</w:t>
            </w:r>
          </w:p>
        </w:tc>
        <w:tc>
          <w:tcPr>
            <w:tcW w:w="557" w:type="dxa"/>
            <w:tcBorders>
              <w:top w:val="nil"/>
              <w:left w:val="nil"/>
              <w:bottom w:val="nil"/>
              <w:right w:val="nil"/>
            </w:tcBorders>
            <w:shd w:val="clear" w:color="auto" w:fill="auto"/>
            <w:noWrap/>
            <w:vAlign w:val="bottom"/>
            <w:hideMark/>
          </w:tcPr>
          <w:p w:rsidR="00700C9C" w:rsidRPr="008E1189" w:rsidRDefault="00700C9C">
            <w:pPr>
              <w:jc w:val="right"/>
              <w:rPr>
                <w:rFonts w:ascii="Arial" w:hAnsi="Arial" w:cs="Arial"/>
                <w:sz w:val="14"/>
                <w:szCs w:val="14"/>
              </w:rPr>
            </w:pPr>
            <w:r w:rsidRPr="008E1189">
              <w:rPr>
                <w:rFonts w:ascii="Arial" w:hAnsi="Arial" w:cs="Arial"/>
                <w:sz w:val="14"/>
                <w:szCs w:val="14"/>
              </w:rPr>
              <w:t>96,013</w:t>
            </w:r>
          </w:p>
        </w:tc>
        <w:tc>
          <w:tcPr>
            <w:tcW w:w="557" w:type="dxa"/>
            <w:tcBorders>
              <w:top w:val="nil"/>
              <w:left w:val="nil"/>
              <w:bottom w:val="nil"/>
              <w:right w:val="nil"/>
            </w:tcBorders>
            <w:shd w:val="clear" w:color="auto" w:fill="auto"/>
            <w:noWrap/>
            <w:vAlign w:val="bottom"/>
            <w:hideMark/>
          </w:tcPr>
          <w:p w:rsidR="00700C9C" w:rsidRPr="008E1189" w:rsidRDefault="00700C9C">
            <w:pPr>
              <w:jc w:val="right"/>
              <w:rPr>
                <w:rFonts w:ascii="Arial" w:hAnsi="Arial" w:cs="Arial"/>
                <w:sz w:val="14"/>
                <w:szCs w:val="14"/>
              </w:rPr>
            </w:pPr>
            <w:r w:rsidRPr="008E1189">
              <w:rPr>
                <w:rFonts w:ascii="Arial" w:hAnsi="Arial" w:cs="Arial"/>
                <w:sz w:val="14"/>
                <w:szCs w:val="14"/>
              </w:rPr>
              <w:t>80,679</w:t>
            </w:r>
          </w:p>
        </w:tc>
        <w:tc>
          <w:tcPr>
            <w:tcW w:w="559" w:type="dxa"/>
            <w:tcBorders>
              <w:top w:val="nil"/>
              <w:left w:val="nil"/>
              <w:bottom w:val="nil"/>
              <w:right w:val="nil"/>
            </w:tcBorders>
            <w:shd w:val="clear" w:color="auto" w:fill="auto"/>
            <w:noWrap/>
            <w:vAlign w:val="bottom"/>
            <w:hideMark/>
          </w:tcPr>
          <w:p w:rsidR="00700C9C" w:rsidRPr="008E1189" w:rsidRDefault="00700C9C">
            <w:pPr>
              <w:jc w:val="right"/>
              <w:rPr>
                <w:rFonts w:ascii="Arial" w:hAnsi="Arial" w:cs="Arial"/>
                <w:sz w:val="14"/>
                <w:szCs w:val="14"/>
              </w:rPr>
            </w:pPr>
            <w:r w:rsidRPr="008E1189">
              <w:rPr>
                <w:rFonts w:ascii="Arial" w:hAnsi="Arial" w:cs="Arial"/>
                <w:sz w:val="14"/>
                <w:szCs w:val="14"/>
              </w:rPr>
              <w:t>74,899</w:t>
            </w:r>
          </w:p>
        </w:tc>
        <w:tc>
          <w:tcPr>
            <w:tcW w:w="559" w:type="dxa"/>
            <w:tcBorders>
              <w:top w:val="nil"/>
              <w:left w:val="nil"/>
              <w:bottom w:val="nil"/>
              <w:right w:val="nil"/>
            </w:tcBorders>
            <w:shd w:val="clear" w:color="auto" w:fill="auto"/>
            <w:noWrap/>
            <w:vAlign w:val="bottom"/>
            <w:hideMark/>
          </w:tcPr>
          <w:p w:rsidR="00700C9C" w:rsidRPr="008E1189" w:rsidRDefault="00700C9C">
            <w:pPr>
              <w:jc w:val="right"/>
              <w:rPr>
                <w:rFonts w:ascii="Arial" w:hAnsi="Arial" w:cs="Arial"/>
                <w:sz w:val="14"/>
                <w:szCs w:val="14"/>
              </w:rPr>
            </w:pPr>
            <w:r w:rsidRPr="008E1189">
              <w:rPr>
                <w:rFonts w:ascii="Arial" w:hAnsi="Arial" w:cs="Arial"/>
                <w:sz w:val="14"/>
                <w:szCs w:val="14"/>
              </w:rPr>
              <w:t>73,636</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-1.7%</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39,187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38,651</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38,463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38,064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34,580</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33,288</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32,922</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-1.1%</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r>
              <w:rPr>
                <w:rFonts w:ascii="Arial" w:hAnsi="Arial" w:cs="Arial"/>
                <w:sz w:val="14"/>
                <w:szCs w:val="14"/>
              </w:rPr>
              <w:t>Part-time part-year</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110</w:t>
            </w:r>
            <w:r w:rsidR="008E1189">
              <w:rPr>
                <w:rFonts w:ascii="Arial" w:hAnsi="Arial" w:cs="Arial"/>
                <w:sz w:val="14"/>
                <w:szCs w:val="14"/>
              </w:rPr>
              <w:t>,</w:t>
            </w:r>
            <w:r>
              <w:rPr>
                <w:rFonts w:ascii="Arial" w:hAnsi="Arial" w:cs="Arial"/>
                <w:sz w:val="14"/>
                <w:szCs w:val="14"/>
              </w:rPr>
              <w:t>733</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130</w:t>
            </w:r>
            <w:r w:rsidR="008E1189">
              <w:rPr>
                <w:rFonts w:ascii="Arial" w:hAnsi="Arial" w:cs="Arial"/>
                <w:sz w:val="14"/>
                <w:szCs w:val="14"/>
              </w:rPr>
              <w:t>,</w:t>
            </w:r>
            <w:r>
              <w:rPr>
                <w:rFonts w:ascii="Arial" w:hAnsi="Arial" w:cs="Arial"/>
                <w:sz w:val="14"/>
                <w:szCs w:val="14"/>
              </w:rPr>
              <w:t>421</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119</w:t>
            </w:r>
            <w:r w:rsidR="008E1189">
              <w:rPr>
                <w:rFonts w:ascii="Arial" w:hAnsi="Arial" w:cs="Arial"/>
                <w:sz w:val="14"/>
                <w:szCs w:val="14"/>
              </w:rPr>
              <w:t>,</w:t>
            </w:r>
            <w:r>
              <w:rPr>
                <w:rFonts w:ascii="Arial" w:hAnsi="Arial" w:cs="Arial"/>
                <w:sz w:val="14"/>
                <w:szCs w:val="14"/>
              </w:rPr>
              <w:t>996</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113</w:t>
            </w:r>
            <w:r w:rsidR="008E1189">
              <w:rPr>
                <w:rFonts w:ascii="Arial" w:hAnsi="Arial" w:cs="Arial"/>
                <w:sz w:val="14"/>
                <w:szCs w:val="14"/>
              </w:rPr>
              <w:t>,</w:t>
            </w:r>
            <w:r>
              <w:rPr>
                <w:rFonts w:ascii="Arial" w:hAnsi="Arial" w:cs="Arial"/>
                <w:sz w:val="14"/>
                <w:szCs w:val="14"/>
              </w:rPr>
              <w:t>692</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97</w:t>
            </w:r>
            <w:r w:rsidR="008E1189">
              <w:rPr>
                <w:rFonts w:ascii="Arial" w:hAnsi="Arial" w:cs="Arial"/>
                <w:sz w:val="14"/>
                <w:szCs w:val="14"/>
              </w:rPr>
              <w:t>,</w:t>
            </w:r>
            <w:r>
              <w:rPr>
                <w:rFonts w:ascii="Arial" w:hAnsi="Arial" w:cs="Arial"/>
                <w:sz w:val="14"/>
                <w:szCs w:val="14"/>
              </w:rPr>
              <w:t>614</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93</w:t>
            </w:r>
            <w:r w:rsidR="008E1189">
              <w:rPr>
                <w:rFonts w:ascii="Arial" w:hAnsi="Arial" w:cs="Arial"/>
                <w:sz w:val="14"/>
                <w:szCs w:val="14"/>
              </w:rPr>
              <w:t>,</w:t>
            </w:r>
            <w:r>
              <w:rPr>
                <w:rFonts w:ascii="Arial" w:hAnsi="Arial" w:cs="Arial"/>
                <w:sz w:val="14"/>
                <w:szCs w:val="14"/>
              </w:rPr>
              <w:t>009</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91</w:t>
            </w:r>
            <w:r w:rsidR="008E1189">
              <w:rPr>
                <w:rFonts w:ascii="Arial" w:hAnsi="Arial" w:cs="Arial"/>
                <w:sz w:val="14"/>
                <w:szCs w:val="14"/>
              </w:rPr>
              <w:t>,</w:t>
            </w:r>
            <w:r>
              <w:rPr>
                <w:rFonts w:ascii="Arial" w:hAnsi="Arial" w:cs="Arial"/>
                <w:sz w:val="14"/>
                <w:szCs w:val="14"/>
              </w:rPr>
              <w:t>233</w:t>
            </w: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-1.9%</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22145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24,743</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24,892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24,385</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21,414</w:t>
            </w: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20,852</w:t>
            </w:r>
          </w:p>
        </w:tc>
        <w:tc>
          <w:tcPr>
            <w:tcW w:w="561" w:type="dxa"/>
            <w:tcBorders>
              <w:top w:val="nil"/>
              <w:left w:val="nil"/>
              <w:bottom w:val="nil"/>
              <w:right w:val="nil"/>
            </w:tcBorders>
            <w:shd w:val="clear" w:color="auto" w:fill="auto"/>
            <w:noWrap/>
            <w:vAlign w:val="bottom"/>
            <w:hideMark/>
          </w:tcPr>
          <w:p w:rsidR="00700C9C" w:rsidRDefault="00700C9C" w:rsidP="00700C9C">
            <w:pPr>
              <w:jc w:val="right"/>
              <w:rPr>
                <w:rFonts w:ascii="Arial" w:hAnsi="Arial" w:cs="Arial"/>
                <w:sz w:val="14"/>
                <w:szCs w:val="14"/>
              </w:rPr>
            </w:pPr>
            <w:r>
              <w:rPr>
                <w:rFonts w:ascii="Arial" w:hAnsi="Arial" w:cs="Arial"/>
                <w:sz w:val="14"/>
                <w:szCs w:val="14"/>
              </w:rPr>
              <w:t>21,185</w:t>
            </w: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r>
              <w:rPr>
                <w:rFonts w:ascii="Arial" w:hAnsi="Arial" w:cs="Arial"/>
                <w:sz w:val="14"/>
                <w:szCs w:val="14"/>
              </w:rPr>
              <w:t>1.6%</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pPr>
              <w:rPr>
                <w:rFonts w:ascii="Arial" w:hAnsi="Arial" w:cs="Arial"/>
                <w:sz w:val="14"/>
                <w:szCs w:val="14"/>
              </w:rPr>
            </w:pP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0"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color w:val="000000"/>
                <w:sz w:val="14"/>
                <w:szCs w:val="14"/>
              </w:rPr>
            </w:pP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61"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
        </w:tc>
        <w:tc>
          <w:tcPr>
            <w:tcW w:w="524" w:type="dxa"/>
            <w:tcBorders>
              <w:top w:val="nil"/>
              <w:left w:val="nil"/>
              <w:bottom w:val="nil"/>
              <w:right w:val="single" w:sz="4" w:space="0" w:color="3366FF"/>
            </w:tcBorders>
            <w:shd w:val="clear" w:color="auto" w:fill="auto"/>
            <w:noWrap/>
            <w:vAlign w:val="bottom"/>
            <w:hideMark/>
          </w:tcPr>
          <w:p w:rsidR="00700C9C" w:rsidRDefault="00700C9C">
            <w:pPr>
              <w:jc w:val="right"/>
              <w:rPr>
                <w:rFonts w:ascii="Arial" w:hAnsi="Arial" w:cs="Arial"/>
                <w:sz w:val="14"/>
                <w:szCs w:val="14"/>
              </w:rPr>
            </w:pPr>
          </w:p>
        </w:tc>
      </w:tr>
      <w:tr w:rsidR="007333AE" w:rsidTr="006B4E05">
        <w:trPr>
          <w:trHeight w:val="227"/>
        </w:trPr>
        <w:tc>
          <w:tcPr>
            <w:tcW w:w="10788" w:type="dxa"/>
            <w:gridSpan w:val="17"/>
            <w:tcBorders>
              <w:top w:val="nil"/>
              <w:left w:val="single" w:sz="4" w:space="0" w:color="3366FF"/>
              <w:bottom w:val="nil"/>
              <w:right w:val="single" w:sz="4" w:space="0" w:color="3366FF"/>
            </w:tcBorders>
            <w:shd w:val="clear" w:color="auto" w:fill="auto"/>
            <w:noWrap/>
            <w:vAlign w:val="bottom"/>
            <w:hideMark/>
          </w:tcPr>
          <w:p w:rsidR="007333AE" w:rsidRDefault="007333AE" w:rsidP="007333AE">
            <w:pPr>
              <w:rPr>
                <w:rFonts w:ascii="Arial" w:hAnsi="Arial" w:cs="Arial"/>
                <w:b/>
                <w:bCs/>
                <w:sz w:val="14"/>
                <w:szCs w:val="14"/>
              </w:rPr>
            </w:pPr>
            <w:r>
              <w:rPr>
                <w:rFonts w:ascii="Arial" w:hAnsi="Arial" w:cs="Arial"/>
                <w:b/>
                <w:bCs/>
                <w:sz w:val="14"/>
                <w:szCs w:val="14"/>
              </w:rPr>
              <w:t xml:space="preserve">Completed qualifications </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rsidP="007333AE">
            <w:pPr>
              <w:rPr>
                <w:rFonts w:ascii="Arial" w:hAnsi="Arial" w:cs="Arial"/>
                <w:sz w:val="14"/>
                <w:szCs w:val="14"/>
              </w:rPr>
            </w:pPr>
            <w:r>
              <w:rPr>
                <w:rFonts w:ascii="Arial" w:hAnsi="Arial" w:cs="Arial"/>
                <w:sz w:val="14"/>
                <w:szCs w:val="14"/>
              </w:rPr>
              <w:t xml:space="preserve">Number of students </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106,525</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119,619</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131,073</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134,928</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140,618</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144,152</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roofErr w:type="spellStart"/>
            <w:r>
              <w:rPr>
                <w:rFonts w:ascii="Arial" w:hAnsi="Arial" w:cs="Arial"/>
                <w:color w:val="000000"/>
                <w:sz w:val="14"/>
                <w:szCs w:val="14"/>
              </w:rPr>
              <w:t>na</w:t>
            </w:r>
            <w:proofErr w:type="spellEnd"/>
          </w:p>
        </w:tc>
        <w:tc>
          <w:tcPr>
            <w:tcW w:w="550"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Pr="00B65E85" w:rsidRDefault="00700C9C" w:rsidP="007333AE">
            <w:pPr>
              <w:jc w:val="right"/>
              <w:rPr>
                <w:rFonts w:ascii="Arial" w:hAnsi="Arial" w:cs="Arial"/>
                <w:sz w:val="14"/>
                <w:szCs w:val="14"/>
              </w:rPr>
            </w:pPr>
          </w:p>
        </w:tc>
        <w:tc>
          <w:tcPr>
            <w:tcW w:w="561"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Pr="00B65E85" w:rsidRDefault="00700C9C" w:rsidP="007333AE">
            <w:pPr>
              <w:ind w:firstLineChars="100" w:firstLine="140"/>
              <w:jc w:val="right"/>
              <w:rPr>
                <w:rFonts w:ascii="Arial" w:hAnsi="Arial" w:cs="Arial"/>
                <w:sz w:val="14"/>
                <w:szCs w:val="14"/>
              </w:rPr>
            </w:pPr>
          </w:p>
        </w:tc>
        <w:tc>
          <w:tcPr>
            <w:tcW w:w="559"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Pr="00B65E85" w:rsidRDefault="00700C9C" w:rsidP="007333AE">
            <w:pPr>
              <w:ind w:firstLineChars="100" w:firstLine="140"/>
              <w:jc w:val="right"/>
              <w:rPr>
                <w:rFonts w:ascii="Arial" w:hAnsi="Arial" w:cs="Arial"/>
                <w:sz w:val="14"/>
                <w:szCs w:val="14"/>
              </w:rPr>
            </w:pPr>
          </w:p>
        </w:tc>
        <w:tc>
          <w:tcPr>
            <w:tcW w:w="559"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Default="00700C9C" w:rsidP="007333AE">
            <w:pPr>
              <w:ind w:firstLineChars="100" w:firstLine="140"/>
              <w:jc w:val="right"/>
              <w:rPr>
                <w:rFonts w:ascii="Arial" w:hAnsi="Arial" w:cs="Arial"/>
                <w:sz w:val="14"/>
                <w:szCs w:val="14"/>
              </w:rPr>
            </w:pPr>
          </w:p>
        </w:tc>
        <w:tc>
          <w:tcPr>
            <w:tcW w:w="559"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Default="00700C9C" w:rsidP="007333AE">
            <w:pPr>
              <w:ind w:firstLineChars="100" w:firstLine="140"/>
              <w:jc w:val="right"/>
              <w:rPr>
                <w:rFonts w:ascii="Arial" w:hAnsi="Arial" w:cs="Arial"/>
                <w:sz w:val="14"/>
                <w:szCs w:val="14"/>
              </w:rPr>
            </w:pPr>
          </w:p>
        </w:tc>
        <w:tc>
          <w:tcPr>
            <w:tcW w:w="559"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Default="00700C9C" w:rsidP="007333AE">
            <w:pPr>
              <w:ind w:firstLineChars="100" w:firstLine="140"/>
              <w:jc w:val="right"/>
              <w:rPr>
                <w:rFonts w:ascii="Arial" w:hAnsi="Arial" w:cs="Arial"/>
                <w:sz w:val="14"/>
                <w:szCs w:val="14"/>
              </w:rPr>
            </w:pPr>
          </w:p>
        </w:tc>
        <w:tc>
          <w:tcPr>
            <w:tcW w:w="561" w:type="dxa"/>
            <w:tcBorders>
              <w:top w:val="nil"/>
              <w:left w:val="nil"/>
              <w:bottom w:val="nil"/>
              <w:right w:val="nil"/>
            </w:tcBorders>
            <w:shd w:val="clear" w:color="auto" w:fill="auto"/>
            <w:noWrap/>
            <w:tcMar>
              <w:top w:w="0" w:type="dxa"/>
              <w:left w:w="0" w:type="dxa"/>
              <w:bottom w:w="0" w:type="dxa"/>
              <w:right w:w="163" w:type="dxa"/>
            </w:tcMar>
            <w:hideMark/>
          </w:tcPr>
          <w:p w:rsidR="00700C9C" w:rsidRPr="00C56DE5" w:rsidRDefault="00700C9C" w:rsidP="007333AE">
            <w:pPr>
              <w:jc w:val="right"/>
              <w:rPr>
                <w:rFonts w:ascii="Arial" w:hAnsi="Arial" w:cs="Arial"/>
                <w:color w:val="000000"/>
                <w:sz w:val="14"/>
                <w:szCs w:val="14"/>
              </w:rPr>
            </w:pPr>
          </w:p>
        </w:tc>
        <w:tc>
          <w:tcPr>
            <w:tcW w:w="561"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Default="00700C9C" w:rsidP="007333AE">
            <w:pPr>
              <w:ind w:firstLineChars="100" w:firstLine="140"/>
              <w:jc w:val="right"/>
              <w:rPr>
                <w:rFonts w:ascii="Arial" w:hAnsi="Arial" w:cs="Arial"/>
                <w:sz w:val="14"/>
                <w:szCs w:val="14"/>
              </w:rPr>
            </w:pPr>
          </w:p>
        </w:tc>
        <w:tc>
          <w:tcPr>
            <w:tcW w:w="524" w:type="dxa"/>
            <w:tcBorders>
              <w:top w:val="nil"/>
              <w:left w:val="nil"/>
              <w:bottom w:val="nil"/>
              <w:right w:val="single" w:sz="4" w:space="0" w:color="3366FF"/>
            </w:tcBorders>
            <w:shd w:val="clear" w:color="auto" w:fill="auto"/>
            <w:noWrap/>
            <w:tcMar>
              <w:top w:w="0" w:type="dxa"/>
              <w:left w:w="0" w:type="dxa"/>
              <w:bottom w:w="0" w:type="dxa"/>
              <w:right w:w="163" w:type="dxa"/>
            </w:tcMar>
            <w:vAlign w:val="bottom"/>
            <w:hideMark/>
          </w:tcPr>
          <w:p w:rsidR="00700C9C" w:rsidRDefault="00700C9C" w:rsidP="007333AE">
            <w:pPr>
              <w:ind w:firstLineChars="100" w:firstLine="140"/>
              <w:jc w:val="right"/>
              <w:rPr>
                <w:rFonts w:ascii="Arial" w:hAnsi="Arial" w:cs="Arial"/>
                <w:sz w:val="14"/>
                <w:szCs w:val="14"/>
              </w:rPr>
            </w:pPr>
            <w:r>
              <w:rPr>
                <w:rFonts w:ascii="Arial" w:hAnsi="Arial" w:cs="Arial"/>
                <w:sz w:val="14"/>
                <w:szCs w:val="14"/>
              </w:rPr>
              <w:t> </w:t>
            </w:r>
          </w:p>
        </w:tc>
      </w:tr>
      <w:tr w:rsidR="00700C9C" w:rsidTr="006B4E05">
        <w:trPr>
          <w:trHeight w:val="227"/>
        </w:trPr>
        <w:tc>
          <w:tcPr>
            <w:tcW w:w="1912" w:type="dxa"/>
            <w:tcBorders>
              <w:top w:val="nil"/>
              <w:left w:val="single" w:sz="4" w:space="0" w:color="3366FF"/>
              <w:bottom w:val="nil"/>
              <w:right w:val="nil"/>
            </w:tcBorders>
            <w:shd w:val="clear" w:color="auto" w:fill="auto"/>
            <w:noWrap/>
            <w:vAlign w:val="bottom"/>
            <w:hideMark/>
          </w:tcPr>
          <w:p w:rsidR="00700C9C" w:rsidRDefault="00700C9C" w:rsidP="007333AE">
            <w:pPr>
              <w:rPr>
                <w:rFonts w:ascii="Arial" w:hAnsi="Arial" w:cs="Arial"/>
                <w:sz w:val="14"/>
                <w:szCs w:val="14"/>
              </w:rPr>
            </w:pPr>
            <w:r>
              <w:rPr>
                <w:rFonts w:ascii="Arial" w:hAnsi="Arial" w:cs="Arial"/>
                <w:sz w:val="14"/>
                <w:szCs w:val="14"/>
              </w:rPr>
              <w:t>Number of qualifications</w:t>
            </w:r>
          </w:p>
        </w:tc>
        <w:tc>
          <w:tcPr>
            <w:tcW w:w="54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113,848</w:t>
            </w:r>
          </w:p>
        </w:tc>
        <w:tc>
          <w:tcPr>
            <w:tcW w:w="554"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131,450</w:t>
            </w:r>
          </w:p>
        </w:tc>
        <w:tc>
          <w:tcPr>
            <w:tcW w:w="550"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144,826</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149,913</w:t>
            </w:r>
          </w:p>
        </w:tc>
        <w:tc>
          <w:tcPr>
            <w:tcW w:w="557"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156,950</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161,547</w:t>
            </w:r>
          </w:p>
        </w:tc>
        <w:tc>
          <w:tcPr>
            <w:tcW w:w="559" w:type="dxa"/>
            <w:tcBorders>
              <w:top w:val="nil"/>
              <w:left w:val="nil"/>
              <w:bottom w:val="nil"/>
              <w:right w:val="nil"/>
            </w:tcBorders>
            <w:shd w:val="clear" w:color="auto" w:fill="auto"/>
            <w:noWrap/>
            <w:vAlign w:val="bottom"/>
            <w:hideMark/>
          </w:tcPr>
          <w:p w:rsidR="00700C9C" w:rsidRDefault="00700C9C">
            <w:pPr>
              <w:jc w:val="right"/>
              <w:rPr>
                <w:rFonts w:ascii="Arial" w:hAnsi="Arial" w:cs="Arial"/>
                <w:color w:val="000000"/>
                <w:sz w:val="14"/>
                <w:szCs w:val="14"/>
              </w:rPr>
            </w:pPr>
            <w:proofErr w:type="spellStart"/>
            <w:r>
              <w:rPr>
                <w:rFonts w:ascii="Arial" w:hAnsi="Arial" w:cs="Arial"/>
                <w:color w:val="000000"/>
                <w:sz w:val="14"/>
                <w:szCs w:val="14"/>
              </w:rPr>
              <w:t>na</w:t>
            </w:r>
            <w:proofErr w:type="spellEnd"/>
          </w:p>
        </w:tc>
        <w:tc>
          <w:tcPr>
            <w:tcW w:w="550"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Pr="00B65E85" w:rsidRDefault="00700C9C" w:rsidP="007333AE">
            <w:pPr>
              <w:jc w:val="right"/>
              <w:rPr>
                <w:rFonts w:ascii="Arial" w:hAnsi="Arial" w:cs="Arial"/>
                <w:sz w:val="14"/>
                <w:szCs w:val="14"/>
              </w:rPr>
            </w:pPr>
          </w:p>
        </w:tc>
        <w:tc>
          <w:tcPr>
            <w:tcW w:w="561"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Pr="00B65E85" w:rsidRDefault="00700C9C" w:rsidP="007333AE">
            <w:pPr>
              <w:ind w:firstLineChars="100" w:firstLine="140"/>
              <w:jc w:val="right"/>
              <w:rPr>
                <w:rFonts w:ascii="Arial" w:hAnsi="Arial" w:cs="Arial"/>
                <w:sz w:val="14"/>
                <w:szCs w:val="14"/>
              </w:rPr>
            </w:pPr>
          </w:p>
        </w:tc>
        <w:tc>
          <w:tcPr>
            <w:tcW w:w="559"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Pr="00B65E85" w:rsidRDefault="00700C9C" w:rsidP="007333AE">
            <w:pPr>
              <w:ind w:firstLineChars="100" w:firstLine="140"/>
              <w:jc w:val="right"/>
              <w:rPr>
                <w:rFonts w:ascii="Arial" w:hAnsi="Arial" w:cs="Arial"/>
                <w:sz w:val="14"/>
                <w:szCs w:val="14"/>
              </w:rPr>
            </w:pPr>
          </w:p>
        </w:tc>
        <w:tc>
          <w:tcPr>
            <w:tcW w:w="559"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Default="00700C9C" w:rsidP="007333AE">
            <w:pPr>
              <w:ind w:firstLineChars="100" w:firstLine="140"/>
              <w:jc w:val="right"/>
              <w:rPr>
                <w:rFonts w:ascii="Arial" w:hAnsi="Arial" w:cs="Arial"/>
                <w:sz w:val="14"/>
                <w:szCs w:val="14"/>
              </w:rPr>
            </w:pPr>
          </w:p>
        </w:tc>
        <w:tc>
          <w:tcPr>
            <w:tcW w:w="559"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Default="00700C9C" w:rsidP="007333AE">
            <w:pPr>
              <w:ind w:firstLineChars="100" w:firstLine="140"/>
              <w:jc w:val="right"/>
              <w:rPr>
                <w:rFonts w:ascii="Arial" w:hAnsi="Arial" w:cs="Arial"/>
                <w:sz w:val="14"/>
                <w:szCs w:val="14"/>
              </w:rPr>
            </w:pPr>
          </w:p>
        </w:tc>
        <w:tc>
          <w:tcPr>
            <w:tcW w:w="559"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Default="00700C9C" w:rsidP="007333AE">
            <w:pPr>
              <w:ind w:firstLineChars="100" w:firstLine="140"/>
              <w:jc w:val="right"/>
              <w:rPr>
                <w:rFonts w:ascii="Arial" w:hAnsi="Arial" w:cs="Arial"/>
                <w:sz w:val="14"/>
                <w:szCs w:val="14"/>
              </w:rPr>
            </w:pPr>
          </w:p>
        </w:tc>
        <w:tc>
          <w:tcPr>
            <w:tcW w:w="561" w:type="dxa"/>
            <w:tcBorders>
              <w:top w:val="nil"/>
              <w:left w:val="nil"/>
              <w:bottom w:val="nil"/>
              <w:right w:val="nil"/>
            </w:tcBorders>
            <w:shd w:val="clear" w:color="auto" w:fill="auto"/>
            <w:noWrap/>
            <w:tcMar>
              <w:top w:w="0" w:type="dxa"/>
              <w:left w:w="0" w:type="dxa"/>
              <w:bottom w:w="0" w:type="dxa"/>
              <w:right w:w="163" w:type="dxa"/>
            </w:tcMar>
            <w:hideMark/>
          </w:tcPr>
          <w:p w:rsidR="00700C9C" w:rsidRPr="00C56DE5" w:rsidRDefault="00700C9C" w:rsidP="007333AE">
            <w:pPr>
              <w:jc w:val="right"/>
              <w:rPr>
                <w:rFonts w:ascii="Arial" w:hAnsi="Arial" w:cs="Arial"/>
                <w:color w:val="000000"/>
                <w:sz w:val="14"/>
                <w:szCs w:val="14"/>
              </w:rPr>
            </w:pPr>
          </w:p>
        </w:tc>
        <w:tc>
          <w:tcPr>
            <w:tcW w:w="561" w:type="dxa"/>
            <w:tcBorders>
              <w:top w:val="nil"/>
              <w:left w:val="nil"/>
              <w:bottom w:val="nil"/>
              <w:right w:val="nil"/>
            </w:tcBorders>
            <w:shd w:val="clear" w:color="auto" w:fill="auto"/>
            <w:noWrap/>
            <w:tcMar>
              <w:top w:w="0" w:type="dxa"/>
              <w:left w:w="0" w:type="dxa"/>
              <w:bottom w:w="0" w:type="dxa"/>
              <w:right w:w="163" w:type="dxa"/>
            </w:tcMar>
            <w:vAlign w:val="bottom"/>
            <w:hideMark/>
          </w:tcPr>
          <w:p w:rsidR="00700C9C" w:rsidRDefault="00700C9C" w:rsidP="007333AE">
            <w:pPr>
              <w:ind w:firstLineChars="100" w:firstLine="140"/>
              <w:jc w:val="right"/>
              <w:rPr>
                <w:rFonts w:ascii="Arial" w:hAnsi="Arial" w:cs="Arial"/>
                <w:sz w:val="14"/>
                <w:szCs w:val="14"/>
              </w:rPr>
            </w:pPr>
          </w:p>
        </w:tc>
        <w:tc>
          <w:tcPr>
            <w:tcW w:w="524" w:type="dxa"/>
            <w:tcBorders>
              <w:top w:val="nil"/>
              <w:left w:val="nil"/>
              <w:bottom w:val="nil"/>
              <w:right w:val="single" w:sz="4" w:space="0" w:color="3366FF"/>
            </w:tcBorders>
            <w:shd w:val="clear" w:color="auto" w:fill="auto"/>
            <w:noWrap/>
            <w:tcMar>
              <w:top w:w="0" w:type="dxa"/>
              <w:left w:w="0" w:type="dxa"/>
              <w:bottom w:w="0" w:type="dxa"/>
              <w:right w:w="163" w:type="dxa"/>
            </w:tcMar>
            <w:vAlign w:val="bottom"/>
            <w:hideMark/>
          </w:tcPr>
          <w:p w:rsidR="00700C9C" w:rsidRDefault="00700C9C" w:rsidP="007333AE">
            <w:pPr>
              <w:ind w:firstLineChars="100" w:firstLine="140"/>
              <w:jc w:val="right"/>
              <w:rPr>
                <w:rFonts w:ascii="Arial" w:hAnsi="Arial" w:cs="Arial"/>
                <w:sz w:val="14"/>
                <w:szCs w:val="14"/>
              </w:rPr>
            </w:pPr>
            <w:r>
              <w:rPr>
                <w:rFonts w:ascii="Arial" w:hAnsi="Arial" w:cs="Arial"/>
                <w:sz w:val="14"/>
                <w:szCs w:val="14"/>
              </w:rPr>
              <w:t> </w:t>
            </w:r>
          </w:p>
        </w:tc>
      </w:tr>
      <w:tr w:rsidR="003C3FA3" w:rsidTr="006B4E05">
        <w:trPr>
          <w:trHeight w:val="20"/>
        </w:trPr>
        <w:tc>
          <w:tcPr>
            <w:tcW w:w="10788" w:type="dxa"/>
            <w:gridSpan w:val="17"/>
            <w:tcBorders>
              <w:top w:val="nil"/>
              <w:left w:val="single" w:sz="4" w:space="0" w:color="3366FF"/>
              <w:bottom w:val="nil"/>
              <w:right w:val="single" w:sz="4" w:space="0" w:color="3366FF"/>
            </w:tcBorders>
            <w:shd w:val="clear" w:color="auto" w:fill="auto"/>
            <w:hideMark/>
          </w:tcPr>
          <w:p w:rsidR="003C3FA3" w:rsidRDefault="003C3FA3" w:rsidP="007333AE">
            <w:pPr>
              <w:spacing w:before="120"/>
              <w:rPr>
                <w:rFonts w:ascii="Arial" w:hAnsi="Arial" w:cs="Arial"/>
                <w:sz w:val="14"/>
                <w:szCs w:val="14"/>
                <w:vertAlign w:val="superscript"/>
              </w:rPr>
            </w:pPr>
          </w:p>
        </w:tc>
      </w:tr>
      <w:tr w:rsidR="007333AE" w:rsidTr="006B4E05">
        <w:trPr>
          <w:trHeight w:val="20"/>
        </w:trPr>
        <w:tc>
          <w:tcPr>
            <w:tcW w:w="10788" w:type="dxa"/>
            <w:gridSpan w:val="17"/>
            <w:tcBorders>
              <w:top w:val="nil"/>
              <w:left w:val="single" w:sz="4" w:space="0" w:color="3366FF"/>
              <w:bottom w:val="nil"/>
              <w:right w:val="single" w:sz="4" w:space="0" w:color="3366FF"/>
            </w:tcBorders>
            <w:shd w:val="clear" w:color="auto" w:fill="auto"/>
            <w:hideMark/>
          </w:tcPr>
          <w:p w:rsidR="007333AE" w:rsidRDefault="007333AE" w:rsidP="007333AE">
            <w:pPr>
              <w:spacing w:before="120"/>
              <w:rPr>
                <w:rFonts w:ascii="Arial" w:hAnsi="Arial" w:cs="Arial"/>
                <w:sz w:val="14"/>
                <w:szCs w:val="14"/>
              </w:rPr>
            </w:pPr>
            <w:r>
              <w:rPr>
                <w:rFonts w:ascii="Arial" w:hAnsi="Arial" w:cs="Arial"/>
                <w:sz w:val="14"/>
                <w:szCs w:val="14"/>
                <w:vertAlign w:val="superscript"/>
              </w:rPr>
              <w:t xml:space="preserve">1 </w:t>
            </w:r>
            <w:r>
              <w:rPr>
                <w:rFonts w:ascii="Arial" w:hAnsi="Arial" w:cs="Arial"/>
                <w:sz w:val="14"/>
                <w:szCs w:val="14"/>
              </w:rPr>
              <w:t xml:space="preserve">Students enrolled at any time during the year with a tertiary education provider in formal qualifications of greater than 0.03 EFTS (more than one week's duration).   </w:t>
            </w:r>
          </w:p>
        </w:tc>
      </w:tr>
      <w:tr w:rsidR="007333AE" w:rsidTr="006B4E05">
        <w:trPr>
          <w:trHeight w:val="20"/>
        </w:trPr>
        <w:tc>
          <w:tcPr>
            <w:tcW w:w="10788" w:type="dxa"/>
            <w:gridSpan w:val="17"/>
            <w:tcBorders>
              <w:top w:val="nil"/>
              <w:left w:val="single" w:sz="4" w:space="0" w:color="3366FF"/>
              <w:bottom w:val="nil"/>
              <w:right w:val="single" w:sz="4" w:space="0" w:color="3366FF"/>
            </w:tcBorders>
            <w:shd w:val="clear" w:color="auto" w:fill="auto"/>
            <w:hideMark/>
          </w:tcPr>
          <w:p w:rsidR="007333AE" w:rsidRDefault="007333AE" w:rsidP="007333AE">
            <w:pPr>
              <w:spacing w:before="60"/>
              <w:rPr>
                <w:rFonts w:ascii="Arial" w:hAnsi="Arial" w:cs="Arial"/>
                <w:sz w:val="14"/>
                <w:szCs w:val="14"/>
              </w:rPr>
            </w:pPr>
            <w:proofErr w:type="gramStart"/>
            <w:r>
              <w:rPr>
                <w:rFonts w:ascii="Arial" w:hAnsi="Arial" w:cs="Arial"/>
                <w:sz w:val="14"/>
                <w:szCs w:val="14"/>
                <w:vertAlign w:val="superscript"/>
              </w:rPr>
              <w:t xml:space="preserve">2  </w:t>
            </w:r>
            <w:r>
              <w:rPr>
                <w:rFonts w:ascii="Arial" w:hAnsi="Arial" w:cs="Arial"/>
                <w:sz w:val="14"/>
                <w:szCs w:val="14"/>
              </w:rPr>
              <w:t>Students</w:t>
            </w:r>
            <w:proofErr w:type="gramEnd"/>
            <w:r>
              <w:rPr>
                <w:rFonts w:ascii="Arial" w:hAnsi="Arial" w:cs="Arial"/>
                <w:sz w:val="14"/>
                <w:szCs w:val="14"/>
              </w:rPr>
              <w:t xml:space="preserve"> enrolled at any time during the year with a tertiary education provider in formal qualifications of 0.03 EFTS or less (one week's duration or less).  This category includes students in the Secon</w:t>
            </w:r>
            <w:r w:rsidR="00105005">
              <w:rPr>
                <w:rFonts w:ascii="Arial" w:hAnsi="Arial" w:cs="Arial"/>
                <w:sz w:val="14"/>
                <w:szCs w:val="14"/>
              </w:rPr>
              <w:t>d</w:t>
            </w:r>
            <w:r>
              <w:rPr>
                <w:rFonts w:ascii="Arial" w:hAnsi="Arial" w:cs="Arial"/>
                <w:sz w:val="14"/>
                <w:szCs w:val="14"/>
              </w:rPr>
              <w:t>ary-Tertiary Alignment Resource (STAR) programme.</w:t>
            </w:r>
          </w:p>
        </w:tc>
      </w:tr>
      <w:tr w:rsidR="007333AE" w:rsidTr="006B4E05">
        <w:trPr>
          <w:trHeight w:val="20"/>
        </w:trPr>
        <w:tc>
          <w:tcPr>
            <w:tcW w:w="10788" w:type="dxa"/>
            <w:gridSpan w:val="17"/>
            <w:tcBorders>
              <w:top w:val="nil"/>
              <w:left w:val="single" w:sz="4" w:space="0" w:color="3366FF"/>
              <w:bottom w:val="nil"/>
              <w:right w:val="single" w:sz="4" w:space="0" w:color="3366FF"/>
            </w:tcBorders>
            <w:shd w:val="clear" w:color="auto" w:fill="auto"/>
            <w:hideMark/>
          </w:tcPr>
          <w:p w:rsidR="007333AE" w:rsidRDefault="007333AE" w:rsidP="00B4798E">
            <w:pPr>
              <w:spacing w:before="60"/>
              <w:rPr>
                <w:rFonts w:ascii="Arial" w:hAnsi="Arial" w:cs="Arial"/>
                <w:sz w:val="14"/>
                <w:szCs w:val="14"/>
              </w:rPr>
            </w:pPr>
            <w:r>
              <w:rPr>
                <w:rFonts w:ascii="Arial" w:hAnsi="Arial" w:cs="Arial"/>
                <w:sz w:val="14"/>
                <w:szCs w:val="14"/>
                <w:vertAlign w:val="superscript"/>
              </w:rPr>
              <w:t xml:space="preserve">3 </w:t>
            </w:r>
            <w:r>
              <w:rPr>
                <w:rFonts w:ascii="Arial" w:hAnsi="Arial" w:cs="Arial"/>
                <w:sz w:val="14"/>
                <w:szCs w:val="14"/>
              </w:rPr>
              <w:t>Students enrolled at any time during the year with a tertiary education provider in informal programmes, i.e. programmes not registered on the New Zealand Qualifications</w:t>
            </w:r>
            <w:r w:rsidR="00B4798E">
              <w:rPr>
                <w:rFonts w:ascii="Arial" w:hAnsi="Arial" w:cs="Arial"/>
                <w:sz w:val="14"/>
                <w:szCs w:val="14"/>
              </w:rPr>
              <w:t xml:space="preserve"> Framework</w:t>
            </w:r>
            <w:r>
              <w:rPr>
                <w:rFonts w:ascii="Arial" w:hAnsi="Arial" w:cs="Arial"/>
                <w:sz w:val="14"/>
                <w:szCs w:val="14"/>
              </w:rPr>
              <w:t>.</w:t>
            </w:r>
          </w:p>
        </w:tc>
      </w:tr>
      <w:tr w:rsidR="007333AE" w:rsidTr="006B4E05">
        <w:trPr>
          <w:trHeight w:val="20"/>
        </w:trPr>
        <w:tc>
          <w:tcPr>
            <w:tcW w:w="10788" w:type="dxa"/>
            <w:gridSpan w:val="17"/>
            <w:tcBorders>
              <w:top w:val="nil"/>
              <w:left w:val="single" w:sz="4" w:space="0" w:color="3366FF"/>
              <w:bottom w:val="single" w:sz="4" w:space="0" w:color="3366FF"/>
              <w:right w:val="single" w:sz="4" w:space="0" w:color="3366FF"/>
            </w:tcBorders>
            <w:shd w:val="clear" w:color="auto" w:fill="auto"/>
            <w:hideMark/>
          </w:tcPr>
          <w:p w:rsidR="007333AE" w:rsidRDefault="007333AE" w:rsidP="007333AE">
            <w:pPr>
              <w:spacing w:before="60"/>
              <w:rPr>
                <w:rFonts w:ascii="Arial" w:hAnsi="Arial" w:cs="Arial"/>
                <w:sz w:val="14"/>
                <w:szCs w:val="14"/>
              </w:rPr>
            </w:pPr>
            <w:r>
              <w:rPr>
                <w:rFonts w:ascii="Arial" w:hAnsi="Arial" w:cs="Arial"/>
                <w:sz w:val="14"/>
                <w:szCs w:val="14"/>
              </w:rPr>
              <w:t>Notes:</w:t>
            </w:r>
          </w:p>
          <w:p w:rsidR="007333AE" w:rsidRDefault="007333AE" w:rsidP="007333AE">
            <w:pPr>
              <w:spacing w:before="60"/>
              <w:rPr>
                <w:rFonts w:ascii="Arial" w:hAnsi="Arial" w:cs="Arial"/>
                <w:sz w:val="14"/>
                <w:szCs w:val="14"/>
              </w:rPr>
            </w:pPr>
            <w:r>
              <w:rPr>
                <w:rFonts w:ascii="Arial" w:hAnsi="Arial" w:cs="Arial"/>
                <w:sz w:val="14"/>
                <w:szCs w:val="14"/>
              </w:rPr>
              <w:t>(1)  The equivalent full-time student count used in this report does not equate to the funded equivalent full-time student count.  The data is also not adjusted to allow for students who do not complete their study programme.</w:t>
            </w:r>
          </w:p>
          <w:p w:rsidR="007333AE" w:rsidRDefault="007333AE" w:rsidP="007333AE">
            <w:pPr>
              <w:spacing w:before="60"/>
              <w:rPr>
                <w:rFonts w:ascii="Arial" w:hAnsi="Arial" w:cs="Arial"/>
                <w:sz w:val="14"/>
                <w:szCs w:val="14"/>
              </w:rPr>
            </w:pPr>
            <w:r>
              <w:rPr>
                <w:rFonts w:ascii="Arial" w:hAnsi="Arial" w:cs="Arial"/>
                <w:sz w:val="14"/>
                <w:szCs w:val="14"/>
              </w:rPr>
              <w:t xml:space="preserve"> 2)  The colleges of education have merged with nearby universities over the last decade.</w:t>
            </w:r>
          </w:p>
        </w:tc>
      </w:tr>
    </w:tbl>
    <w:p w:rsidR="00CA0E2A" w:rsidRDefault="00CA0E2A" w:rsidP="007333AE">
      <w:bookmarkStart w:id="61" w:name="RANGE!A1:Q57"/>
      <w:bookmarkEnd w:id="61"/>
      <w:r>
        <w:br w:type="page"/>
      </w:r>
    </w:p>
    <w:tbl>
      <w:tblPr>
        <w:tblW w:w="5013" w:type="pct"/>
        <w:tblLayout w:type="fixed"/>
        <w:tblCellMar>
          <w:left w:w="0" w:type="dxa"/>
          <w:right w:w="0" w:type="dxa"/>
        </w:tblCellMar>
        <w:tblLook w:val="04A0"/>
      </w:tblPr>
      <w:tblGrid>
        <w:gridCol w:w="2143"/>
        <w:gridCol w:w="536"/>
        <w:gridCol w:w="544"/>
        <w:gridCol w:w="546"/>
        <w:gridCol w:w="544"/>
        <w:gridCol w:w="548"/>
        <w:gridCol w:w="544"/>
        <w:gridCol w:w="544"/>
        <w:gridCol w:w="544"/>
        <w:gridCol w:w="45"/>
        <w:gridCol w:w="492"/>
        <w:gridCol w:w="13"/>
        <w:gridCol w:w="528"/>
        <w:gridCol w:w="17"/>
        <w:gridCol w:w="531"/>
        <w:gridCol w:w="13"/>
        <w:gridCol w:w="526"/>
        <w:gridCol w:w="17"/>
        <w:gridCol w:w="522"/>
        <w:gridCol w:w="22"/>
        <w:gridCol w:w="520"/>
        <w:gridCol w:w="24"/>
        <w:gridCol w:w="515"/>
        <w:gridCol w:w="28"/>
        <w:gridCol w:w="522"/>
      </w:tblGrid>
      <w:tr w:rsidR="00CA0E2A" w:rsidTr="00CA0E2A">
        <w:trPr>
          <w:trHeight w:val="272"/>
        </w:trPr>
        <w:tc>
          <w:tcPr>
            <w:tcW w:w="5000" w:type="pct"/>
            <w:gridSpan w:val="25"/>
            <w:tcBorders>
              <w:top w:val="single" w:sz="4" w:space="0" w:color="3366FF"/>
              <w:left w:val="single" w:sz="4" w:space="0" w:color="3366FF"/>
              <w:bottom w:val="nil"/>
              <w:right w:val="single" w:sz="4" w:space="0" w:color="3366FF"/>
            </w:tcBorders>
            <w:shd w:val="clear" w:color="auto" w:fill="auto"/>
            <w:noWrap/>
            <w:tcMar>
              <w:top w:w="14" w:type="dxa"/>
              <w:left w:w="14" w:type="dxa"/>
              <w:bottom w:w="0" w:type="dxa"/>
              <w:right w:w="14" w:type="dxa"/>
            </w:tcMar>
            <w:vAlign w:val="center"/>
            <w:hideMark/>
          </w:tcPr>
          <w:p w:rsidR="00CA0E2A" w:rsidRDefault="00CA0E2A" w:rsidP="00CA0E2A">
            <w:pPr>
              <w:rPr>
                <w:rFonts w:ascii="Arial" w:hAnsi="Arial" w:cs="Arial"/>
                <w:b/>
                <w:bCs/>
                <w:sz w:val="18"/>
                <w:szCs w:val="18"/>
              </w:rPr>
            </w:pPr>
            <w:r>
              <w:rPr>
                <w:rFonts w:ascii="Arial" w:hAnsi="Arial" w:cs="Arial"/>
                <w:b/>
                <w:bCs/>
                <w:sz w:val="18"/>
                <w:szCs w:val="18"/>
              </w:rPr>
              <w:lastRenderedPageBreak/>
              <w:t xml:space="preserve">Table 8.4:  New Zealand's domestic tertiary education students by selected characteristics </w:t>
            </w:r>
          </w:p>
        </w:tc>
      </w:tr>
      <w:tr w:rsidR="00CA0E2A" w:rsidTr="00700C9C">
        <w:trPr>
          <w:trHeight w:val="66"/>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center"/>
            <w:hideMark/>
          </w:tcPr>
          <w:p w:rsidR="00CA0E2A" w:rsidRDefault="00CA0E2A" w:rsidP="00132BAC">
            <w:pPr>
              <w:rPr>
                <w:rFonts w:ascii="Arial" w:hAnsi="Arial" w:cs="Arial"/>
                <w:b/>
                <w:bCs/>
                <w:sz w:val="14"/>
                <w:szCs w:val="14"/>
              </w:rPr>
            </w:pPr>
            <w:r>
              <w:rPr>
                <w:rFonts w:ascii="Arial" w:hAnsi="Arial" w:cs="Arial"/>
                <w:b/>
                <w:bCs/>
                <w:sz w:val="14"/>
                <w:szCs w:val="14"/>
              </w:rPr>
              <w:t> </w:t>
            </w:r>
          </w:p>
        </w:tc>
        <w:tc>
          <w:tcPr>
            <w:tcW w:w="2029" w:type="pct"/>
            <w:gridSpan w:val="9"/>
            <w:tcBorders>
              <w:top w:val="nil"/>
              <w:left w:val="nil"/>
              <w:bottom w:val="nil"/>
            </w:tcBorders>
            <w:shd w:val="clear" w:color="auto" w:fill="auto"/>
            <w:noWrap/>
            <w:tcMar>
              <w:top w:w="14" w:type="dxa"/>
              <w:left w:w="14" w:type="dxa"/>
              <w:bottom w:w="0" w:type="dxa"/>
              <w:right w:w="14" w:type="dxa"/>
            </w:tcMar>
            <w:vAlign w:val="center"/>
            <w:hideMark/>
          </w:tcPr>
          <w:p w:rsidR="00CA0E2A" w:rsidRDefault="00CA0E2A" w:rsidP="00132BAC">
            <w:pPr>
              <w:jc w:val="center"/>
              <w:rPr>
                <w:rFonts w:ascii="Arial" w:hAnsi="Arial" w:cs="Arial"/>
                <w:b/>
                <w:bCs/>
                <w:sz w:val="14"/>
                <w:szCs w:val="14"/>
              </w:rPr>
            </w:pPr>
            <w:r>
              <w:rPr>
                <w:rFonts w:ascii="Arial" w:hAnsi="Arial" w:cs="Arial"/>
                <w:b/>
                <w:bCs/>
                <w:sz w:val="14"/>
                <w:szCs w:val="14"/>
              </w:rPr>
              <w:t>Student enrolments</w:t>
            </w:r>
          </w:p>
        </w:tc>
        <w:tc>
          <w:tcPr>
            <w:tcW w:w="1981" w:type="pct"/>
            <w:gridSpan w:val="15"/>
            <w:tcBorders>
              <w:top w:val="nil"/>
              <w:left w:val="nil"/>
              <w:bottom w:val="nil"/>
              <w:right w:val="single" w:sz="4" w:space="0" w:color="3366FF"/>
            </w:tcBorders>
            <w:shd w:val="clear" w:color="auto" w:fill="auto"/>
            <w:noWrap/>
            <w:tcMar>
              <w:top w:w="14" w:type="dxa"/>
              <w:left w:w="14" w:type="dxa"/>
              <w:bottom w:w="0" w:type="dxa"/>
              <w:right w:w="14" w:type="dxa"/>
            </w:tcMar>
            <w:vAlign w:val="center"/>
            <w:hideMark/>
          </w:tcPr>
          <w:p w:rsidR="00CA0E2A" w:rsidRDefault="00CA0E2A" w:rsidP="00132BAC">
            <w:pPr>
              <w:jc w:val="center"/>
              <w:rPr>
                <w:rFonts w:ascii="Arial" w:hAnsi="Arial" w:cs="Arial"/>
                <w:b/>
                <w:bCs/>
                <w:sz w:val="14"/>
                <w:szCs w:val="14"/>
              </w:rPr>
            </w:pPr>
            <w:r>
              <w:rPr>
                <w:rFonts w:ascii="Arial" w:hAnsi="Arial" w:cs="Arial"/>
                <w:b/>
                <w:bCs/>
                <w:sz w:val="14"/>
                <w:szCs w:val="14"/>
              </w:rPr>
              <w:t>Equivalent full-time students</w:t>
            </w:r>
          </w:p>
        </w:tc>
      </w:tr>
      <w:tr w:rsidR="00700C9C" w:rsidTr="00D94DEA">
        <w:trPr>
          <w:trHeight w:val="20"/>
        </w:trPr>
        <w:tc>
          <w:tcPr>
            <w:tcW w:w="990" w:type="pct"/>
            <w:tcBorders>
              <w:top w:val="nil"/>
              <w:left w:val="single" w:sz="4" w:space="0" w:color="3366FF"/>
              <w:bottom w:val="nil"/>
              <w:right w:val="nil"/>
            </w:tcBorders>
            <w:shd w:val="clear" w:color="auto" w:fill="auto"/>
            <w:tcMar>
              <w:top w:w="14" w:type="dxa"/>
              <w:left w:w="14" w:type="dxa"/>
              <w:bottom w:w="0" w:type="dxa"/>
              <w:right w:w="14" w:type="dxa"/>
            </w:tcMar>
            <w:vAlign w:val="bottom"/>
            <w:hideMark/>
          </w:tcPr>
          <w:p w:rsidR="00700C9C" w:rsidRDefault="00700C9C" w:rsidP="00132BAC">
            <w:pPr>
              <w:rPr>
                <w:rFonts w:ascii="Arial" w:hAnsi="Arial" w:cs="Arial"/>
                <w:b/>
                <w:bCs/>
                <w:sz w:val="14"/>
                <w:szCs w:val="14"/>
              </w:rPr>
            </w:pPr>
            <w:r>
              <w:rPr>
                <w:rFonts w:ascii="Arial" w:hAnsi="Arial" w:cs="Arial"/>
                <w:b/>
                <w:bCs/>
                <w:sz w:val="14"/>
                <w:szCs w:val="14"/>
              </w:rPr>
              <w:t>Type of qualification</w:t>
            </w:r>
          </w:p>
        </w:tc>
        <w:tc>
          <w:tcPr>
            <w:tcW w:w="248" w:type="pct"/>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2003</w:t>
            </w:r>
          </w:p>
        </w:tc>
        <w:tc>
          <w:tcPr>
            <w:tcW w:w="251" w:type="pct"/>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2008</w:t>
            </w:r>
          </w:p>
        </w:tc>
        <w:tc>
          <w:tcPr>
            <w:tcW w:w="252" w:type="pct"/>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2009</w:t>
            </w:r>
          </w:p>
        </w:tc>
        <w:tc>
          <w:tcPr>
            <w:tcW w:w="251" w:type="pct"/>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2010</w:t>
            </w:r>
          </w:p>
        </w:tc>
        <w:tc>
          <w:tcPr>
            <w:tcW w:w="253" w:type="pct"/>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2011</w:t>
            </w:r>
          </w:p>
        </w:tc>
        <w:tc>
          <w:tcPr>
            <w:tcW w:w="251" w:type="pct"/>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2012</w:t>
            </w:r>
          </w:p>
        </w:tc>
        <w:tc>
          <w:tcPr>
            <w:tcW w:w="251" w:type="pct"/>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2013</w:t>
            </w:r>
          </w:p>
        </w:tc>
        <w:tc>
          <w:tcPr>
            <w:tcW w:w="251" w:type="pct"/>
            <w:tcBorders>
              <w:top w:val="nil"/>
              <w:left w:val="nil"/>
              <w:bottom w:val="nil"/>
              <w:right w:val="single" w:sz="4" w:space="0" w:color="3366FF"/>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 xml:space="preserve">Change </w:t>
            </w:r>
            <w:r>
              <w:rPr>
                <w:rFonts w:ascii="Arial" w:hAnsi="Arial" w:cs="Arial"/>
                <w:sz w:val="14"/>
                <w:szCs w:val="14"/>
              </w:rPr>
              <w:br/>
              <w:t>12-13</w:t>
            </w:r>
          </w:p>
        </w:tc>
        <w:tc>
          <w:tcPr>
            <w:tcW w:w="248" w:type="pct"/>
            <w:gridSpan w:val="2"/>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2003</w:t>
            </w:r>
          </w:p>
        </w:tc>
        <w:tc>
          <w:tcPr>
            <w:tcW w:w="250" w:type="pct"/>
            <w:gridSpan w:val="2"/>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2008</w:t>
            </w:r>
          </w:p>
        </w:tc>
        <w:tc>
          <w:tcPr>
            <w:tcW w:w="253" w:type="pct"/>
            <w:gridSpan w:val="2"/>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2009</w:t>
            </w:r>
          </w:p>
        </w:tc>
        <w:tc>
          <w:tcPr>
            <w:tcW w:w="249" w:type="pct"/>
            <w:gridSpan w:val="2"/>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2010</w:t>
            </w:r>
          </w:p>
        </w:tc>
        <w:tc>
          <w:tcPr>
            <w:tcW w:w="249" w:type="pct"/>
            <w:gridSpan w:val="2"/>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2011</w:t>
            </w:r>
          </w:p>
        </w:tc>
        <w:tc>
          <w:tcPr>
            <w:tcW w:w="250" w:type="pct"/>
            <w:gridSpan w:val="2"/>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2012</w:t>
            </w:r>
          </w:p>
        </w:tc>
        <w:tc>
          <w:tcPr>
            <w:tcW w:w="249" w:type="pct"/>
            <w:gridSpan w:val="2"/>
            <w:tcBorders>
              <w:top w:val="nil"/>
              <w:left w:val="nil"/>
              <w:bottom w:val="nil"/>
              <w:right w:val="nil"/>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2013</w:t>
            </w:r>
          </w:p>
        </w:tc>
        <w:tc>
          <w:tcPr>
            <w:tcW w:w="254" w:type="pct"/>
            <w:gridSpan w:val="2"/>
            <w:tcBorders>
              <w:top w:val="nil"/>
              <w:left w:val="nil"/>
              <w:bottom w:val="nil"/>
              <w:right w:val="single" w:sz="4" w:space="0" w:color="3366FF"/>
            </w:tcBorders>
            <w:shd w:val="clear" w:color="auto" w:fill="auto"/>
            <w:tcMar>
              <w:top w:w="14" w:type="dxa"/>
              <w:left w:w="14" w:type="dxa"/>
              <w:bottom w:w="0" w:type="dxa"/>
              <w:right w:w="14" w:type="dxa"/>
            </w:tcMar>
            <w:hideMark/>
          </w:tcPr>
          <w:p w:rsidR="00700C9C" w:rsidRDefault="00700C9C">
            <w:pPr>
              <w:jc w:val="center"/>
              <w:rPr>
                <w:rFonts w:ascii="Arial" w:hAnsi="Arial" w:cs="Arial"/>
                <w:sz w:val="14"/>
                <w:szCs w:val="14"/>
              </w:rPr>
            </w:pPr>
            <w:r>
              <w:rPr>
                <w:rFonts w:ascii="Arial" w:hAnsi="Arial" w:cs="Arial"/>
                <w:sz w:val="14"/>
                <w:szCs w:val="14"/>
              </w:rPr>
              <w:t xml:space="preserve">Change </w:t>
            </w:r>
            <w:r>
              <w:rPr>
                <w:rFonts w:ascii="Arial" w:hAnsi="Arial" w:cs="Arial"/>
                <w:sz w:val="14"/>
                <w:szCs w:val="14"/>
              </w:rPr>
              <w:br/>
              <w:t>12-13</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Formal &gt; 0.03 EFTS</w:t>
            </w:r>
            <w:r>
              <w:rPr>
                <w:rFonts w:ascii="Arial" w:hAnsi="Arial" w:cs="Arial"/>
                <w:sz w:val="14"/>
                <w:szCs w:val="14"/>
                <w:vertAlign w:val="superscript"/>
              </w:rPr>
              <w:t>1</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407,571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418,798</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423,142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418,319</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381,599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373,091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369,565</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-0.9%</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239,449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235,123</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250,636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254,526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245,585</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245,786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Pr="00B4798E" w:rsidRDefault="00700C9C">
            <w:pPr>
              <w:jc w:val="right"/>
              <w:rPr>
                <w:rFonts w:ascii="Arial" w:hAnsi="Arial" w:cs="Arial"/>
                <w:sz w:val="14"/>
                <w:szCs w:val="14"/>
              </w:rPr>
            </w:pPr>
            <w:r w:rsidRPr="00B4798E">
              <w:rPr>
                <w:rFonts w:ascii="Arial" w:hAnsi="Arial" w:cs="Arial"/>
                <w:sz w:val="14"/>
                <w:szCs w:val="14"/>
              </w:rPr>
              <w:t>245,051</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-0.3%</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Formal  ≤ 0.03 EFTS</w:t>
            </w:r>
            <w:r>
              <w:rPr>
                <w:rFonts w:ascii="Arial" w:hAnsi="Arial" w:cs="Arial"/>
                <w:sz w:val="14"/>
                <w:szCs w:val="14"/>
                <w:vertAlign w:val="superscript"/>
              </w:rPr>
              <w:t>2</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73,266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38,269</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39,693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34,539</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24,853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23,606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20,725</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-12.2%</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2,576</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2,125</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2,436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2,213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1,853</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1,765</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Pr="00B4798E" w:rsidRDefault="00700C9C">
            <w:pPr>
              <w:jc w:val="right"/>
              <w:rPr>
                <w:rFonts w:ascii="Arial" w:hAnsi="Arial" w:cs="Arial"/>
                <w:sz w:val="14"/>
                <w:szCs w:val="14"/>
              </w:rPr>
            </w:pPr>
            <w:r w:rsidRPr="00B4798E">
              <w:rPr>
                <w:rFonts w:ascii="Arial" w:hAnsi="Arial" w:cs="Arial"/>
                <w:sz w:val="14"/>
                <w:szCs w:val="14"/>
              </w:rPr>
              <w:t>1,537</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-12.9%</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Informal</w:t>
            </w:r>
            <w:r>
              <w:rPr>
                <w:rFonts w:ascii="Arial" w:hAnsi="Arial" w:cs="Arial"/>
                <w:sz w:val="14"/>
                <w:szCs w:val="14"/>
                <w:vertAlign w:val="superscript"/>
              </w:rPr>
              <w:t>3</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274,468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80,065</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78,787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70,008</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53,654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49,321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40,758</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-17.4%</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21,743</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4,898</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4,682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4,614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3,521</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3,379</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Pr="00B4798E" w:rsidRDefault="00700C9C">
            <w:pPr>
              <w:jc w:val="right"/>
              <w:rPr>
                <w:rFonts w:ascii="Arial" w:hAnsi="Arial" w:cs="Arial"/>
                <w:sz w:val="14"/>
                <w:szCs w:val="14"/>
              </w:rPr>
            </w:pPr>
            <w:r w:rsidRPr="00B4798E">
              <w:rPr>
                <w:rFonts w:ascii="Arial" w:hAnsi="Arial" w:cs="Arial"/>
                <w:sz w:val="14"/>
                <w:szCs w:val="14"/>
              </w:rPr>
              <w:t>3,577</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5.9%</w:t>
            </w:r>
          </w:p>
        </w:tc>
      </w:tr>
      <w:tr w:rsidR="00CA0E2A" w:rsidTr="00CA0E2A">
        <w:trPr>
          <w:trHeight w:val="227"/>
        </w:trPr>
        <w:tc>
          <w:tcPr>
            <w:tcW w:w="5000" w:type="pct"/>
            <w:gridSpan w:val="25"/>
            <w:tcBorders>
              <w:top w:val="single" w:sz="4" w:space="0" w:color="3366FF"/>
              <w:left w:val="single" w:sz="4" w:space="0" w:color="3366FF"/>
              <w:bottom w:val="single" w:sz="4" w:space="0" w:color="3366FF"/>
              <w:right w:val="single" w:sz="4" w:space="0" w:color="3366FF"/>
            </w:tcBorders>
            <w:shd w:val="clear" w:color="auto" w:fill="auto"/>
            <w:noWrap/>
            <w:tcMar>
              <w:top w:w="14" w:type="dxa"/>
              <w:left w:w="14" w:type="dxa"/>
              <w:bottom w:w="0" w:type="dxa"/>
              <w:right w:w="14" w:type="dxa"/>
            </w:tcMar>
            <w:vAlign w:val="bottom"/>
            <w:hideMark/>
          </w:tcPr>
          <w:p w:rsidR="00CA0E2A" w:rsidRDefault="00CA0E2A" w:rsidP="00132BAC">
            <w:pPr>
              <w:jc w:val="center"/>
              <w:rPr>
                <w:rFonts w:ascii="Arial" w:hAnsi="Arial" w:cs="Arial"/>
                <w:sz w:val="14"/>
                <w:szCs w:val="14"/>
              </w:rPr>
            </w:pPr>
            <w:r>
              <w:rPr>
                <w:rFonts w:ascii="Arial" w:hAnsi="Arial" w:cs="Arial"/>
                <w:sz w:val="14"/>
                <w:szCs w:val="14"/>
              </w:rPr>
              <w:t>Domestic students enrolled in formal qualifications &gt; 0.03 EFTS</w:t>
            </w:r>
            <w:r>
              <w:rPr>
                <w:rFonts w:ascii="Arial" w:hAnsi="Arial" w:cs="Arial"/>
                <w:sz w:val="14"/>
                <w:szCs w:val="14"/>
                <w:vertAlign w:val="superscript"/>
              </w:rPr>
              <w:t>1</w:t>
            </w:r>
          </w:p>
        </w:tc>
      </w:tr>
      <w:tr w:rsidR="00CA0E2A"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b/>
                <w:bCs/>
                <w:sz w:val="14"/>
                <w:szCs w:val="14"/>
              </w:rPr>
            </w:pPr>
            <w:r>
              <w:rPr>
                <w:rFonts w:ascii="Arial" w:hAnsi="Arial" w:cs="Arial"/>
                <w:b/>
                <w:bCs/>
                <w:sz w:val="14"/>
                <w:szCs w:val="14"/>
              </w:rPr>
              <w:t>Qualification level</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1" w:type="pct"/>
            <w:tcBorders>
              <w:top w:val="nil"/>
              <w:left w:val="nil"/>
              <w:bottom w:val="nil"/>
              <w:right w:val="single" w:sz="4" w:space="0" w:color="3366FF"/>
            </w:tcBorders>
            <w:shd w:val="clear" w:color="auto" w:fill="auto"/>
            <w:noWrap/>
            <w:tcMar>
              <w:top w:w="14" w:type="dxa"/>
              <w:left w:w="163"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4" w:type="pct"/>
            <w:gridSpan w:val="3"/>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1"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1"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1"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1"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51"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c>
          <w:tcPr>
            <w:tcW w:w="241" w:type="pct"/>
            <w:tcBorders>
              <w:top w:val="nil"/>
              <w:left w:val="nil"/>
              <w:bottom w:val="nil"/>
              <w:right w:val="single" w:sz="4" w:space="0" w:color="3366FF"/>
            </w:tcBorders>
            <w:shd w:val="clear" w:color="auto" w:fill="auto"/>
            <w:noWrap/>
            <w:tcMar>
              <w:top w:w="14" w:type="dxa"/>
              <w:left w:w="14" w:type="dxa"/>
              <w:bottom w:w="0" w:type="dxa"/>
              <w:right w:w="163" w:type="dxa"/>
            </w:tcMar>
            <w:vAlign w:val="bottom"/>
            <w:hideMark/>
          </w:tcPr>
          <w:p w:rsidR="00CA0E2A" w:rsidRDefault="00CA0E2A" w:rsidP="00132BAC">
            <w:pPr>
              <w:rPr>
                <w:rFonts w:ascii="Arial" w:hAnsi="Arial" w:cs="Arial"/>
                <w:sz w:val="20"/>
                <w:szCs w:val="20"/>
              </w:rPr>
            </w:pPr>
            <w:r>
              <w:rPr>
                <w:rFonts w:ascii="Arial" w:hAnsi="Arial" w:cs="Arial"/>
                <w:sz w:val="20"/>
                <w:szCs w:val="20"/>
              </w:rPr>
              <w:t> </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Certificates 1-3</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154,635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152,435</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144,496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131,930</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107,141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103,191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104,854</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57,489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53,711</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55,029</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53,376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50,112</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49,379</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52,686</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6.7%</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Certificates 4</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69,603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74,249</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73,200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71,072</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61,155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61,151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58,395</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-4.5%</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33,806</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30,018</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32,607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31,490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29,505</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29,670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28,776</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-3.0%</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Diplomas 5-7</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63,053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63,476</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66,602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68,309</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62,021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55,318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52,218</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-5.6%</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32,428</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30,882</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33,050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33,317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29,859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28,461</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26,649</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-6.4%</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proofErr w:type="spellStart"/>
            <w:r>
              <w:rPr>
                <w:rFonts w:ascii="Arial" w:hAnsi="Arial" w:cs="Arial"/>
                <w:sz w:val="14"/>
                <w:szCs w:val="14"/>
              </w:rPr>
              <w:t>Bachelors</w:t>
            </w:r>
            <w:proofErr w:type="spellEnd"/>
            <w:r>
              <w:rPr>
                <w:rFonts w:ascii="Arial" w:hAnsi="Arial" w:cs="Arial"/>
                <w:sz w:val="14"/>
                <w:szCs w:val="14"/>
              </w:rPr>
              <w:t xml:space="preserve"> degrees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114,422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118,366</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125,653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129,654</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129,526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131,590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129,853</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89,325</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93,366</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99,108</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103,991</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105,166</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107,703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106,480</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 xml:space="preserve">Graduate </w:t>
            </w:r>
            <w:proofErr w:type="spellStart"/>
            <w:r>
              <w:rPr>
                <w:rFonts w:ascii="Arial" w:hAnsi="Arial" w:cs="Arial"/>
                <w:sz w:val="14"/>
                <w:szCs w:val="14"/>
              </w:rPr>
              <w:t>certs</w:t>
            </w:r>
            <w:proofErr w:type="spellEnd"/>
            <w:r>
              <w:rPr>
                <w:rFonts w:ascii="Arial" w:hAnsi="Arial" w:cs="Arial"/>
                <w:sz w:val="14"/>
                <w:szCs w:val="14"/>
              </w:rPr>
              <w:t>/dips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13,338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12,295</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13,204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13,140</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11,943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11,429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11,147</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-2.5%</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5,861</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5,212</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6,102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6,392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5,600</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5,406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5,103</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-5.6%</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Honours/</w:t>
            </w:r>
            <w:proofErr w:type="spellStart"/>
            <w:r>
              <w:rPr>
                <w:rFonts w:ascii="Arial" w:hAnsi="Arial" w:cs="Arial"/>
                <w:sz w:val="14"/>
                <w:szCs w:val="14"/>
              </w:rPr>
              <w:t>postgrad</w:t>
            </w:r>
            <w:proofErr w:type="spellEnd"/>
            <w:r>
              <w:rPr>
                <w:rFonts w:ascii="Arial" w:hAnsi="Arial" w:cs="Arial"/>
                <w:sz w:val="14"/>
                <w:szCs w:val="14"/>
              </w:rPr>
              <w:t xml:space="preserve">. </w:t>
            </w:r>
            <w:proofErr w:type="spellStart"/>
            <w:r>
              <w:rPr>
                <w:rFonts w:ascii="Arial" w:hAnsi="Arial" w:cs="Arial"/>
                <w:sz w:val="14"/>
                <w:szCs w:val="14"/>
              </w:rPr>
              <w:t>certs</w:t>
            </w:r>
            <w:proofErr w:type="spellEnd"/>
            <w:r>
              <w:rPr>
                <w:rFonts w:ascii="Arial" w:hAnsi="Arial" w:cs="Arial"/>
                <w:sz w:val="14"/>
                <w:szCs w:val="14"/>
              </w:rPr>
              <w:t>/dips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16,665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20,700</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23,609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24,540</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23,547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23,259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23,360</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0.4%</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10,952</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12,516</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14,751</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15,647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14,939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14,782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15,077</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2.0%</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Masters degrees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10,905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10,462</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11,103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11,662</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11,955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11,831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11,913</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0.7%</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6,449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5,658</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6,037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6,389</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6,534</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6,604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6,565</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-0.6%</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Doctoral degrees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3,808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4,769</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5,005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5,166</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5,133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5,116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5,052</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3,138</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3,759</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3,952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3,924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3,870</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3,780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3,715</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-1.7%</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b/>
                <w:bCs/>
                <w:sz w:val="14"/>
                <w:szCs w:val="14"/>
              </w:rPr>
            </w:pPr>
            <w:r>
              <w:rPr>
                <w:rFonts w:ascii="Arial" w:hAnsi="Arial" w:cs="Arial"/>
                <w:b/>
                <w:bCs/>
                <w:sz w:val="14"/>
                <w:szCs w:val="14"/>
              </w:rPr>
              <w:t>Age group</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r>
              <w:rPr>
                <w:rFonts w:ascii="Arial" w:hAnsi="Arial" w:cs="Arial"/>
                <w:sz w:val="20"/>
                <w:szCs w:val="20"/>
              </w:rPr>
              <w:t> </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r>
              <w:rPr>
                <w:rFonts w:ascii="Arial" w:hAnsi="Arial" w:cs="Arial"/>
                <w:sz w:val="20"/>
                <w:szCs w:val="20"/>
              </w:rPr>
              <w:t> </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Under 18 years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16,825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17,377</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16,140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15,034</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14,051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13,829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17,987</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30.1%</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11,507</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10,506</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10,111</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9,856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9,765</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9,446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12,398</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31.3%</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18 to 19 years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49,785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58,067</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62,576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63,958</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61,668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62,305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62,462</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0.3%</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42,517</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49,130</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53,480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54,747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53,573</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54,762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55,186</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0.8%</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20 to 24 years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91,097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96,723</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102,796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107,804</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105,877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106,114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105,260</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-0.8%</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68,252</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70,757</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77,020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81,275</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81,036</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82,353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81,570</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25 to 39 years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140,796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123,252</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124,298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121,844</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109,090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103,542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100,074</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-3.3%</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69,964</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57,238</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61,190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61,691</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58,051</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56,880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54,951</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-3.4%</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40 years and over</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108,960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123,379</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117,332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109,679</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90,913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87,301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83,782</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-4.0%</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47,193</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47,492</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48,835</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46,957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43,159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42,345</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40,946</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-3.3%</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b/>
                <w:bCs/>
                <w:sz w:val="14"/>
                <w:szCs w:val="14"/>
              </w:rPr>
            </w:pPr>
            <w:r>
              <w:rPr>
                <w:rFonts w:ascii="Arial" w:hAnsi="Arial" w:cs="Arial"/>
                <w:b/>
                <w:bCs/>
                <w:sz w:val="14"/>
                <w:szCs w:val="14"/>
              </w:rPr>
              <w:t xml:space="preserve">Females / Males </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r>
              <w:rPr>
                <w:rFonts w:ascii="Arial" w:hAnsi="Arial" w:cs="Arial"/>
                <w:sz w:val="20"/>
                <w:szCs w:val="20"/>
              </w:rPr>
              <w:t> </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r>
              <w:rPr>
                <w:rFonts w:ascii="Arial" w:hAnsi="Arial" w:cs="Arial"/>
                <w:sz w:val="20"/>
                <w:szCs w:val="20"/>
              </w:rPr>
              <w:t> </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Female</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233,122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233,739</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238,154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235,245</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219,959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215,378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212,614</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139,717</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135,858</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144,692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146,227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142,354</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142,365</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141,535</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-0.6%</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Male</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174,449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185,059</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184,988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183,074</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161,640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157,713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156,951</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-0.5%</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99,732</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99,265</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105,943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108,299</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103,231</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103,421</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103,516</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0.1%</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b/>
                <w:bCs/>
                <w:sz w:val="14"/>
                <w:szCs w:val="14"/>
              </w:rPr>
            </w:pPr>
            <w:r>
              <w:rPr>
                <w:rFonts w:ascii="Arial" w:hAnsi="Arial" w:cs="Arial"/>
                <w:b/>
                <w:bCs/>
                <w:sz w:val="14"/>
                <w:szCs w:val="14"/>
              </w:rPr>
              <w:t>Common fields of study</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r>
              <w:rPr>
                <w:rFonts w:ascii="Arial" w:hAnsi="Arial" w:cs="Arial"/>
                <w:sz w:val="20"/>
                <w:szCs w:val="20"/>
              </w:rPr>
              <w:t> </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 </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Language &amp; literature</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51,687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43,513</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43,575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41,404</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37,246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36,998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38,913</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5.2%</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25,752</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17,816</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17,737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16,809</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15,133</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15,369</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15,272</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-0.6%</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Business &amp; management</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55,486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61,773</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64,433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64,120</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60,573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57,271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53,662</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-6.3%</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11,847</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16,508</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17,421</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17,059</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15,958</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16,111</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14,790</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-8.2%</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Studies in human society</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33,294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45,988</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50,406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51,446</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46,835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47,324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45,187</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-4.5%</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9,304</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12,867</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13,774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14,578</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13,648</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13,514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12,812</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-5.2%</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Teacher education</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37,901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25,920</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28,197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28,566</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26,421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24,677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22,208</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-10.0%</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13,055</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12,789</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14,435</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14,400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13,408</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12,947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11,567</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-10.7%</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Nursing</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10,986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12,645</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13,554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14,127</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14,512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15,145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15,634</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3.2%</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5,787</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6,400</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7,000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7,636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8,192</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8,550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8,640</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1.1%</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Biological sciences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17,474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19,438</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21,082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22,018</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21,777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21,765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22,126</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5,848</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6,829</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7,172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7,548</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7,566</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7,560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7,703</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1.9%</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Law</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24,293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23,251</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22,886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22,657</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21,493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20,493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19,929</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-2.8%</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6,927</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6,906</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7,093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7,189</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7,023</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6,864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6,944</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Communication &amp; media studies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25,987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26,680</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29,721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29,153</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25,635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25,379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25,058</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5,699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6,404</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6,960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7,124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6,924</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6,711</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6,527</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-2.7%</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Office studies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44,545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47,616</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46,031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37,239</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29,529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24,015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22,798</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-5.1%</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10,235</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9,927</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9,858</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8,398</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7,234</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6,736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6,355</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-5.7%</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Building</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8,534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14,425</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13,575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13,785</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12,886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13,325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14,560</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9.3%</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3,803</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5,837</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5,554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5,623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5,431</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5,804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6,292</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8.4%</w:t>
            </w:r>
          </w:p>
        </w:tc>
      </w:tr>
      <w:tr w:rsidR="008F49EB"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Other fields of study</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582,819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537,492</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559,183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569,587</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521,748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505,958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509,883</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0.8%</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141,192</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132,841</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143,633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148,164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145,068</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145,620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148,149</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b/>
                <w:bCs/>
                <w:sz w:val="14"/>
                <w:szCs w:val="14"/>
              </w:rPr>
            </w:pPr>
            <w:r>
              <w:rPr>
                <w:rFonts w:ascii="Arial" w:hAnsi="Arial" w:cs="Arial"/>
                <w:b/>
                <w:bCs/>
                <w:sz w:val="14"/>
                <w:szCs w:val="14"/>
              </w:rPr>
              <w:t>Sub-sector</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r>
              <w:rPr>
                <w:rFonts w:ascii="Arial" w:hAnsi="Arial" w:cs="Arial"/>
                <w:sz w:val="20"/>
                <w:szCs w:val="20"/>
              </w:rPr>
              <w:t> </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20"/>
                <w:szCs w:val="20"/>
              </w:rPr>
            </w:pPr>
            <w:r>
              <w:rPr>
                <w:rFonts w:ascii="Arial" w:hAnsi="Arial" w:cs="Arial"/>
                <w:sz w:val="20"/>
                <w:szCs w:val="20"/>
              </w:rPr>
              <w:t> </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Universities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149,743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147,129</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154,859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156,058</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152,650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151,936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148,920</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-2.0%</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108,654</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109,909</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116,824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119,190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115,753</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116,144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114,014</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-1.8%</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Polytechnics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155,869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185,289</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178,551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173,073</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143,054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138,973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131,580</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-5.3%</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60,801</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66,489</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71,024</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72,675</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70,016</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71,967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68,676</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-4.6%</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proofErr w:type="spellStart"/>
            <w:r>
              <w:rPr>
                <w:rFonts w:ascii="Arial" w:hAnsi="Arial" w:cs="Arial"/>
                <w:sz w:val="14"/>
                <w:szCs w:val="14"/>
              </w:rPr>
              <w:t>Wānanga</w:t>
            </w:r>
            <w:proofErr w:type="spellEnd"/>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65,143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40,320</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42,550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42,274</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38,621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39,143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38,964</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-0.5%</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37,096</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22,577</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25,133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25,838</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24,667</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24,733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25,052</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1.3%</w:t>
            </w:r>
          </w:p>
        </w:tc>
      </w:tr>
      <w:tr w:rsidR="00700C9C" w:rsidTr="00D94DEA">
        <w:trPr>
          <w:trHeight w:val="227"/>
        </w:trPr>
        <w:tc>
          <w:tcPr>
            <w:tcW w:w="990" w:type="pct"/>
            <w:tcBorders>
              <w:top w:val="single" w:sz="4" w:space="0" w:color="3366FF"/>
              <w:left w:val="single" w:sz="4" w:space="0" w:color="3366FF"/>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Public providers</w:t>
            </w:r>
          </w:p>
        </w:tc>
        <w:tc>
          <w:tcPr>
            <w:tcW w:w="248" w:type="pct"/>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355,663</w:t>
            </w:r>
          </w:p>
        </w:tc>
        <w:tc>
          <w:tcPr>
            <w:tcW w:w="251" w:type="pct"/>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362,198</w:t>
            </w:r>
          </w:p>
        </w:tc>
        <w:tc>
          <w:tcPr>
            <w:tcW w:w="252" w:type="pct"/>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365,553</w:t>
            </w:r>
          </w:p>
        </w:tc>
        <w:tc>
          <w:tcPr>
            <w:tcW w:w="251" w:type="pct"/>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361,902</w:t>
            </w:r>
          </w:p>
        </w:tc>
        <w:tc>
          <w:tcPr>
            <w:tcW w:w="253" w:type="pct"/>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326,766</w:t>
            </w:r>
          </w:p>
        </w:tc>
        <w:tc>
          <w:tcPr>
            <w:tcW w:w="251" w:type="pct"/>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322,557</w:t>
            </w:r>
          </w:p>
        </w:tc>
        <w:tc>
          <w:tcPr>
            <w:tcW w:w="251" w:type="pct"/>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312,831</w:t>
            </w:r>
          </w:p>
        </w:tc>
        <w:tc>
          <w:tcPr>
            <w:tcW w:w="251" w:type="pct"/>
            <w:tcBorders>
              <w:top w:val="single" w:sz="4" w:space="0" w:color="3366FF"/>
              <w:left w:val="nil"/>
              <w:bottom w:val="single" w:sz="4" w:space="0" w:color="3366FF"/>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-3.0%</w:t>
            </w:r>
          </w:p>
        </w:tc>
        <w:tc>
          <w:tcPr>
            <w:tcW w:w="248" w:type="pct"/>
            <w:gridSpan w:val="2"/>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206,550</w:t>
            </w:r>
          </w:p>
        </w:tc>
        <w:tc>
          <w:tcPr>
            <w:tcW w:w="250" w:type="pct"/>
            <w:gridSpan w:val="2"/>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198,974</w:t>
            </w:r>
          </w:p>
        </w:tc>
        <w:tc>
          <w:tcPr>
            <w:tcW w:w="253" w:type="pct"/>
            <w:gridSpan w:val="2"/>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212,981</w:t>
            </w:r>
          </w:p>
        </w:tc>
        <w:tc>
          <w:tcPr>
            <w:tcW w:w="249" w:type="pct"/>
            <w:gridSpan w:val="2"/>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217,703</w:t>
            </w:r>
          </w:p>
        </w:tc>
        <w:tc>
          <w:tcPr>
            <w:tcW w:w="249" w:type="pct"/>
            <w:gridSpan w:val="2"/>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210,436</w:t>
            </w:r>
          </w:p>
        </w:tc>
        <w:tc>
          <w:tcPr>
            <w:tcW w:w="250" w:type="pct"/>
            <w:gridSpan w:val="2"/>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212,844</w:t>
            </w:r>
          </w:p>
        </w:tc>
        <w:tc>
          <w:tcPr>
            <w:tcW w:w="249" w:type="pct"/>
            <w:gridSpan w:val="2"/>
            <w:tcBorders>
              <w:top w:val="single" w:sz="4" w:space="0" w:color="3366FF"/>
              <w:left w:val="nil"/>
              <w:bottom w:val="single" w:sz="4" w:space="0" w:color="3366FF"/>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207,742</w:t>
            </w:r>
          </w:p>
        </w:tc>
        <w:tc>
          <w:tcPr>
            <w:tcW w:w="254" w:type="pct"/>
            <w:gridSpan w:val="2"/>
            <w:tcBorders>
              <w:top w:val="single" w:sz="4" w:space="0" w:color="3366FF"/>
              <w:left w:val="nil"/>
              <w:bottom w:val="single" w:sz="4" w:space="0" w:color="3366FF"/>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-2.4%</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Private training establishments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63,656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65,497</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66,757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65,120</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61,791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56,766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63,085</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11.1%</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32,899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36,149</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37,655</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36,823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35,149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32,942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37,308</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13.3%</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Pr="00B4798E" w:rsidRDefault="00700C9C" w:rsidP="00132BAC">
            <w:pPr>
              <w:rPr>
                <w:rFonts w:ascii="Arial" w:hAnsi="Arial" w:cs="Arial"/>
                <w:b/>
                <w:bCs/>
                <w:sz w:val="14"/>
                <w:szCs w:val="14"/>
              </w:rPr>
            </w:pPr>
            <w:r w:rsidRPr="00B4798E">
              <w:rPr>
                <w:rFonts w:ascii="Arial" w:hAnsi="Arial" w:cs="Arial"/>
                <w:b/>
                <w:bCs/>
                <w:sz w:val="14"/>
                <w:szCs w:val="14"/>
              </w:rPr>
              <w:t>Study type</w:t>
            </w:r>
          </w:p>
        </w:tc>
        <w:tc>
          <w:tcPr>
            <w:tcW w:w="248" w:type="pct"/>
            <w:tcBorders>
              <w:top w:val="nil"/>
              <w:left w:val="nil"/>
              <w:bottom w:val="nil"/>
              <w:right w:val="nil"/>
            </w:tcBorders>
            <w:shd w:val="clear" w:color="auto" w:fill="auto"/>
            <w:noWrap/>
            <w:tcMar>
              <w:top w:w="14" w:type="dxa"/>
              <w:left w:w="14" w:type="dxa"/>
              <w:bottom w:w="0" w:type="dxa"/>
              <w:right w:w="163" w:type="dxa"/>
            </w:tcMar>
            <w:vAlign w:val="bottom"/>
            <w:hideMark/>
          </w:tcPr>
          <w:p w:rsidR="00700C9C" w:rsidRPr="00B4798E" w:rsidRDefault="00700C9C">
            <w:pPr>
              <w:rPr>
                <w:rFonts w:ascii="Arial" w:hAnsi="Arial" w:cs="Arial"/>
                <w:sz w:val="14"/>
                <w:szCs w:val="14"/>
              </w:rPr>
            </w:pPr>
          </w:p>
        </w:tc>
        <w:tc>
          <w:tcPr>
            <w:tcW w:w="251" w:type="pct"/>
            <w:tcBorders>
              <w:top w:val="nil"/>
              <w:left w:val="nil"/>
              <w:bottom w:val="nil"/>
              <w:right w:val="nil"/>
            </w:tcBorders>
            <w:shd w:val="clear" w:color="auto" w:fill="auto"/>
            <w:noWrap/>
            <w:tcMar>
              <w:top w:w="14" w:type="dxa"/>
              <w:left w:w="14" w:type="dxa"/>
              <w:bottom w:w="0" w:type="dxa"/>
              <w:right w:w="163" w:type="dxa"/>
            </w:tcMar>
            <w:vAlign w:val="bottom"/>
            <w:hideMark/>
          </w:tcPr>
          <w:p w:rsidR="00700C9C" w:rsidRPr="00B4798E" w:rsidRDefault="00700C9C">
            <w:pPr>
              <w:rPr>
                <w:rFonts w:ascii="Arial" w:hAnsi="Arial" w:cs="Arial"/>
                <w:sz w:val="14"/>
                <w:szCs w:val="14"/>
              </w:rPr>
            </w:pP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Pr="00B4798E" w:rsidRDefault="00700C9C">
            <w:pPr>
              <w:rPr>
                <w:rFonts w:ascii="Arial" w:hAnsi="Arial" w:cs="Arial"/>
                <w:sz w:val="14"/>
                <w:szCs w:val="14"/>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Pr="00B4798E" w:rsidRDefault="00700C9C">
            <w:pPr>
              <w:rPr>
                <w:rFonts w:ascii="Arial" w:hAnsi="Arial" w:cs="Arial"/>
                <w:sz w:val="14"/>
                <w:szCs w:val="14"/>
              </w:rPr>
            </w:pP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Pr="00B4798E" w:rsidRDefault="00700C9C">
            <w:pPr>
              <w:rPr>
                <w:rFonts w:ascii="Arial" w:hAnsi="Arial" w:cs="Arial"/>
                <w:sz w:val="14"/>
                <w:szCs w:val="14"/>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Pr="00B4798E" w:rsidRDefault="00700C9C">
            <w:pPr>
              <w:rPr>
                <w:rFonts w:ascii="Arial" w:hAnsi="Arial" w:cs="Arial"/>
                <w:sz w:val="14"/>
                <w:szCs w:val="14"/>
              </w:rPr>
            </w:pP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Pr="00B4798E" w:rsidRDefault="00700C9C">
            <w:pPr>
              <w:rPr>
                <w:rFonts w:ascii="Arial" w:hAnsi="Arial" w:cs="Arial"/>
                <w:sz w:val="14"/>
                <w:szCs w:val="14"/>
              </w:rPr>
            </w:pP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Pr="00B4798E" w:rsidRDefault="00700C9C">
            <w:pPr>
              <w:rPr>
                <w:rFonts w:ascii="Arial" w:hAnsi="Arial" w:cs="Arial"/>
                <w:sz w:val="20"/>
                <w:szCs w:val="20"/>
              </w:rPr>
            </w:pPr>
            <w:r w:rsidRPr="00B4798E">
              <w:rPr>
                <w:rFonts w:ascii="Arial" w:hAnsi="Arial" w:cs="Arial"/>
                <w:sz w:val="20"/>
                <w:szCs w:val="20"/>
              </w:rPr>
              <w:t> </w:t>
            </w:r>
          </w:p>
        </w:tc>
        <w:tc>
          <w:tcPr>
            <w:tcW w:w="248" w:type="pct"/>
            <w:gridSpan w:val="2"/>
            <w:tcBorders>
              <w:top w:val="nil"/>
              <w:left w:val="nil"/>
              <w:bottom w:val="nil"/>
              <w:right w:val="nil"/>
            </w:tcBorders>
            <w:shd w:val="clear" w:color="auto" w:fill="auto"/>
            <w:noWrap/>
            <w:tcMar>
              <w:top w:w="14" w:type="dxa"/>
              <w:left w:w="14" w:type="dxa"/>
              <w:bottom w:w="0" w:type="dxa"/>
              <w:right w:w="163" w:type="dxa"/>
            </w:tcMar>
            <w:vAlign w:val="bottom"/>
            <w:hideMark/>
          </w:tcPr>
          <w:p w:rsidR="00700C9C" w:rsidRPr="00B4798E" w:rsidRDefault="00700C9C">
            <w:pPr>
              <w:rPr>
                <w:rFonts w:ascii="Arial" w:hAnsi="Arial" w:cs="Arial"/>
                <w:sz w:val="14"/>
                <w:szCs w:val="14"/>
              </w:rPr>
            </w:pPr>
          </w:p>
        </w:tc>
        <w:tc>
          <w:tcPr>
            <w:tcW w:w="250" w:type="pct"/>
            <w:gridSpan w:val="2"/>
            <w:tcBorders>
              <w:top w:val="nil"/>
              <w:left w:val="nil"/>
              <w:bottom w:val="nil"/>
              <w:right w:val="nil"/>
            </w:tcBorders>
            <w:shd w:val="clear" w:color="auto" w:fill="auto"/>
            <w:noWrap/>
            <w:tcMar>
              <w:top w:w="14" w:type="dxa"/>
              <w:left w:w="14" w:type="dxa"/>
              <w:bottom w:w="0" w:type="dxa"/>
              <w:right w:w="163" w:type="dxa"/>
            </w:tcMar>
            <w:vAlign w:val="bottom"/>
            <w:hideMark/>
          </w:tcPr>
          <w:p w:rsidR="00700C9C" w:rsidRPr="00B4798E" w:rsidRDefault="00700C9C">
            <w:pPr>
              <w:rPr>
                <w:rFonts w:ascii="Arial" w:hAnsi="Arial" w:cs="Arial"/>
                <w:sz w:val="14"/>
                <w:szCs w:val="14"/>
              </w:rPr>
            </w:pP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Pr="00B4798E" w:rsidRDefault="00700C9C">
            <w:pPr>
              <w:rPr>
                <w:rFonts w:ascii="Arial" w:hAnsi="Arial" w:cs="Arial"/>
                <w:sz w:val="14"/>
                <w:szCs w:val="14"/>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14"/>
                <w:szCs w:val="14"/>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14"/>
                <w:szCs w:val="14"/>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14"/>
                <w:szCs w:val="14"/>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rPr>
                <w:rFonts w:ascii="Arial" w:hAnsi="Arial" w:cs="Arial"/>
                <w:sz w:val="14"/>
                <w:szCs w:val="14"/>
              </w:rPr>
            </w:pP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ind w:firstLineChars="100" w:firstLine="140"/>
              <w:jc w:val="right"/>
              <w:rPr>
                <w:rFonts w:ascii="Arial" w:hAnsi="Arial" w:cs="Arial"/>
                <w:sz w:val="14"/>
                <w:szCs w:val="14"/>
              </w:rPr>
            </w:pPr>
            <w:r>
              <w:rPr>
                <w:rFonts w:ascii="Arial" w:hAnsi="Arial" w:cs="Arial"/>
                <w:sz w:val="14"/>
                <w:szCs w:val="14"/>
              </w:rPr>
              <w:t> </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Full-time full-year</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148,072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142,296</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154,772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161,610</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158,530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160,256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158,548</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159,418</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150,491</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163,906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169,932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166,183</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167,910</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166,183</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Full-time part-year</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53,773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59,085</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63,887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61,079</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59,249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58,779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59,967</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2.0%</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23,049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25,665</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27,927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27,525</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29,012</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29,203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30,125</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3.2%</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Part-time full-year</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100,422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94,625</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92,146</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91,477</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75,683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70,068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68,736</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-1.9%</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36,629</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36,497</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36,187</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35,493</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31,682</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30,442</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30,122</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w:t>
            </w:r>
          </w:p>
        </w:tc>
      </w:tr>
      <w:tr w:rsidR="00700C9C"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700C9C" w:rsidRDefault="00700C9C" w:rsidP="00132BAC">
            <w:pPr>
              <w:rPr>
                <w:rFonts w:ascii="Arial" w:hAnsi="Arial" w:cs="Arial"/>
                <w:sz w:val="14"/>
                <w:szCs w:val="14"/>
              </w:rPr>
            </w:pPr>
            <w:r>
              <w:rPr>
                <w:rFonts w:ascii="Arial" w:hAnsi="Arial" w:cs="Arial"/>
                <w:sz w:val="14"/>
                <w:szCs w:val="14"/>
              </w:rPr>
              <w:t>Part-time part-year</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105,304</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122,792</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112,337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104,153</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88,137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83,988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82,314</w:t>
            </w:r>
          </w:p>
        </w:tc>
        <w:tc>
          <w:tcPr>
            <w:tcW w:w="251" w:type="pct"/>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-2.0%</w:t>
            </w: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20,354</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color w:val="000000"/>
                <w:sz w:val="14"/>
                <w:szCs w:val="14"/>
              </w:rPr>
            </w:pPr>
            <w:r>
              <w:rPr>
                <w:rFonts w:ascii="Arial" w:hAnsi="Arial" w:cs="Arial"/>
                <w:color w:val="000000"/>
                <w:sz w:val="14"/>
                <w:szCs w:val="14"/>
              </w:rPr>
              <w:t>22,471</w:t>
            </w: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22,616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21,576</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18,707</w:t>
            </w: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18,231</w:t>
            </w: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18,621</w:t>
            </w: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700C9C" w:rsidRDefault="00700C9C">
            <w:pPr>
              <w:jc w:val="right"/>
              <w:rPr>
                <w:rFonts w:ascii="Arial" w:hAnsi="Arial" w:cs="Arial"/>
                <w:sz w:val="14"/>
                <w:szCs w:val="14"/>
              </w:rPr>
            </w:pPr>
            <w:r>
              <w:rPr>
                <w:rFonts w:ascii="Arial" w:hAnsi="Arial" w:cs="Arial"/>
                <w:sz w:val="14"/>
                <w:szCs w:val="14"/>
              </w:rPr>
              <w:t>2.1%</w:t>
            </w:r>
          </w:p>
        </w:tc>
      </w:tr>
      <w:tr w:rsidR="00CA0E2A" w:rsidTr="00CA0E2A">
        <w:trPr>
          <w:trHeight w:val="227"/>
        </w:trPr>
        <w:tc>
          <w:tcPr>
            <w:tcW w:w="5000" w:type="pct"/>
            <w:gridSpan w:val="25"/>
            <w:tcBorders>
              <w:top w:val="nil"/>
              <w:left w:val="single" w:sz="4" w:space="0" w:color="3366FF"/>
              <w:bottom w:val="nil"/>
              <w:right w:val="single" w:sz="4" w:space="0" w:color="3366FF"/>
            </w:tcBorders>
            <w:shd w:val="clear" w:color="auto" w:fill="auto"/>
            <w:noWrap/>
            <w:tcMar>
              <w:top w:w="14" w:type="dxa"/>
              <w:left w:w="14" w:type="dxa"/>
              <w:bottom w:w="0" w:type="dxa"/>
              <w:right w:w="14" w:type="dxa"/>
            </w:tcMar>
            <w:vAlign w:val="bottom"/>
            <w:hideMark/>
          </w:tcPr>
          <w:p w:rsidR="00CA0E2A" w:rsidRDefault="00CA0E2A" w:rsidP="00132BAC">
            <w:pPr>
              <w:rPr>
                <w:rFonts w:ascii="Arial" w:hAnsi="Arial" w:cs="Arial"/>
                <w:b/>
                <w:bCs/>
                <w:sz w:val="14"/>
                <w:szCs w:val="14"/>
              </w:rPr>
            </w:pPr>
            <w:r>
              <w:rPr>
                <w:rFonts w:ascii="Arial" w:hAnsi="Arial" w:cs="Arial"/>
                <w:b/>
                <w:bCs/>
                <w:sz w:val="14"/>
                <w:szCs w:val="14"/>
              </w:rPr>
              <w:t xml:space="preserve">Completed qualifications </w:t>
            </w:r>
          </w:p>
        </w:tc>
      </w:tr>
      <w:tr w:rsidR="008E1189"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r>
              <w:rPr>
                <w:rFonts w:ascii="Arial" w:hAnsi="Arial" w:cs="Arial"/>
                <w:sz w:val="14"/>
                <w:szCs w:val="14"/>
              </w:rPr>
              <w:t xml:space="preserve">Number of students </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94,953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106,723</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117,097</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120,147</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123,072</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126,435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proofErr w:type="spellStart"/>
            <w:r>
              <w:rPr>
                <w:rFonts w:ascii="Arial" w:hAnsi="Arial" w:cs="Arial"/>
                <w:color w:val="000000"/>
                <w:sz w:val="14"/>
                <w:szCs w:val="14"/>
              </w:rPr>
              <w:t>na</w:t>
            </w:r>
            <w:proofErr w:type="spellEnd"/>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ind w:firstLineChars="100" w:firstLine="140"/>
              <w:jc w:val="right"/>
              <w:rPr>
                <w:rFonts w:ascii="Arial" w:hAnsi="Arial" w:cs="Arial"/>
                <w:sz w:val="14"/>
                <w:szCs w:val="14"/>
              </w:rPr>
            </w:pP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E1189" w:rsidRDefault="008E1189" w:rsidP="00132BAC">
            <w:pPr>
              <w:ind w:firstLineChars="100" w:firstLine="140"/>
              <w:jc w:val="right"/>
              <w:rPr>
                <w:rFonts w:ascii="Arial" w:hAnsi="Arial" w:cs="Arial"/>
                <w:sz w:val="14"/>
                <w:szCs w:val="14"/>
              </w:rPr>
            </w:pPr>
            <w:r>
              <w:rPr>
                <w:rFonts w:ascii="Arial" w:hAnsi="Arial" w:cs="Arial"/>
                <w:sz w:val="14"/>
                <w:szCs w:val="14"/>
              </w:rPr>
              <w:t> </w:t>
            </w:r>
          </w:p>
        </w:tc>
      </w:tr>
      <w:tr w:rsidR="008E1189"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r>
              <w:rPr>
                <w:rFonts w:ascii="Arial" w:hAnsi="Arial" w:cs="Arial"/>
                <w:sz w:val="14"/>
                <w:szCs w:val="14"/>
              </w:rPr>
              <w:t>Number of qualifications</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101,858</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117,955</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130,230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134,394</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138,621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r>
              <w:rPr>
                <w:rFonts w:ascii="Arial" w:hAnsi="Arial" w:cs="Arial"/>
                <w:color w:val="000000"/>
                <w:sz w:val="14"/>
                <w:szCs w:val="14"/>
              </w:rPr>
              <w:t>143,051</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color w:val="000000"/>
                <w:sz w:val="14"/>
                <w:szCs w:val="14"/>
              </w:rPr>
            </w:pPr>
            <w:proofErr w:type="spellStart"/>
            <w:r>
              <w:rPr>
                <w:rFonts w:ascii="Arial" w:hAnsi="Arial" w:cs="Arial"/>
                <w:color w:val="000000"/>
                <w:sz w:val="14"/>
                <w:szCs w:val="14"/>
              </w:rPr>
              <w:t>na</w:t>
            </w:r>
            <w:proofErr w:type="spellEnd"/>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6"/>
                <w:szCs w:val="16"/>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ind w:firstLineChars="100" w:firstLine="140"/>
              <w:jc w:val="right"/>
              <w:rPr>
                <w:rFonts w:ascii="Arial" w:hAnsi="Arial" w:cs="Arial"/>
                <w:sz w:val="14"/>
                <w:szCs w:val="14"/>
              </w:rPr>
            </w:pP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E1189" w:rsidRDefault="008E1189" w:rsidP="00132BAC">
            <w:pPr>
              <w:ind w:firstLineChars="100" w:firstLine="140"/>
              <w:jc w:val="right"/>
              <w:rPr>
                <w:rFonts w:ascii="Arial" w:hAnsi="Arial" w:cs="Arial"/>
                <w:sz w:val="14"/>
                <w:szCs w:val="14"/>
              </w:rPr>
            </w:pPr>
            <w:r>
              <w:rPr>
                <w:rFonts w:ascii="Arial" w:hAnsi="Arial" w:cs="Arial"/>
                <w:sz w:val="14"/>
                <w:szCs w:val="14"/>
              </w:rPr>
              <w:t> </w:t>
            </w:r>
          </w:p>
        </w:tc>
      </w:tr>
      <w:tr w:rsidR="008E1189" w:rsidTr="00D94DEA">
        <w:trPr>
          <w:trHeight w:val="227"/>
        </w:trPr>
        <w:tc>
          <w:tcPr>
            <w:tcW w:w="990" w:type="pct"/>
            <w:tcBorders>
              <w:top w:val="nil"/>
              <w:left w:val="single" w:sz="4" w:space="0" w:color="3366FF"/>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r>
              <w:rPr>
                <w:rFonts w:ascii="Arial" w:hAnsi="Arial" w:cs="Arial"/>
                <w:sz w:val="14"/>
                <w:szCs w:val="14"/>
              </w:rPr>
              <w:t>Participation rate</w:t>
            </w:r>
          </w:p>
        </w:tc>
        <w:tc>
          <w:tcPr>
            <w:tcW w:w="248"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sz w:val="14"/>
                <w:szCs w:val="14"/>
              </w:rPr>
            </w:pPr>
            <w:r>
              <w:rPr>
                <w:rFonts w:ascii="Arial" w:hAnsi="Arial" w:cs="Arial"/>
                <w:sz w:val="14"/>
                <w:szCs w:val="14"/>
              </w:rPr>
              <w:t>13.0%</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sz w:val="14"/>
                <w:szCs w:val="14"/>
              </w:rPr>
            </w:pPr>
            <w:r>
              <w:rPr>
                <w:rFonts w:ascii="Arial" w:hAnsi="Arial" w:cs="Arial"/>
                <w:sz w:val="14"/>
                <w:szCs w:val="14"/>
              </w:rPr>
              <w:t>12.4%</w:t>
            </w:r>
          </w:p>
        </w:tc>
        <w:tc>
          <w:tcPr>
            <w:tcW w:w="252"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sz w:val="14"/>
                <w:szCs w:val="14"/>
              </w:rPr>
            </w:pPr>
            <w:r>
              <w:rPr>
                <w:rFonts w:ascii="Arial" w:hAnsi="Arial" w:cs="Arial"/>
                <w:sz w:val="14"/>
                <w:szCs w:val="14"/>
              </w:rPr>
              <w:t>12.3%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sz w:val="14"/>
                <w:szCs w:val="14"/>
              </w:rPr>
            </w:pPr>
            <w:r>
              <w:rPr>
                <w:rFonts w:ascii="Arial" w:hAnsi="Arial" w:cs="Arial"/>
                <w:sz w:val="14"/>
                <w:szCs w:val="14"/>
              </w:rPr>
              <w:t>12.0%</w:t>
            </w:r>
          </w:p>
        </w:tc>
        <w:tc>
          <w:tcPr>
            <w:tcW w:w="253"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sz w:val="14"/>
                <w:szCs w:val="14"/>
              </w:rPr>
            </w:pPr>
            <w:r>
              <w:rPr>
                <w:rFonts w:ascii="Arial" w:hAnsi="Arial" w:cs="Arial"/>
                <w:sz w:val="14"/>
                <w:szCs w:val="14"/>
              </w:rPr>
              <w:t>10.9%</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sz w:val="14"/>
                <w:szCs w:val="14"/>
              </w:rPr>
            </w:pPr>
            <w:r>
              <w:rPr>
                <w:rFonts w:ascii="Arial" w:hAnsi="Arial" w:cs="Arial"/>
                <w:sz w:val="14"/>
                <w:szCs w:val="14"/>
              </w:rPr>
              <w:t>10.5%</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pPr>
              <w:jc w:val="right"/>
              <w:rPr>
                <w:rFonts w:ascii="Arial" w:hAnsi="Arial" w:cs="Arial"/>
                <w:sz w:val="14"/>
                <w:szCs w:val="14"/>
              </w:rPr>
            </w:pPr>
            <w:r>
              <w:rPr>
                <w:rFonts w:ascii="Arial" w:hAnsi="Arial" w:cs="Arial"/>
                <w:sz w:val="14"/>
                <w:szCs w:val="14"/>
              </w:rPr>
              <w:t>10.3%</w:t>
            </w:r>
          </w:p>
        </w:tc>
        <w:tc>
          <w:tcPr>
            <w:tcW w:w="251" w:type="pct"/>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p>
        </w:tc>
        <w:tc>
          <w:tcPr>
            <w:tcW w:w="248"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Pr="003607CD" w:rsidRDefault="008E1189" w:rsidP="00132BAC">
            <w:pPr>
              <w:rPr>
                <w:rFonts w:ascii="Arial" w:hAnsi="Arial" w:cs="Arial"/>
                <w:sz w:val="14"/>
                <w:szCs w:val="14"/>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Pr="003607CD" w:rsidRDefault="008E1189" w:rsidP="00132BAC">
            <w:pPr>
              <w:rPr>
                <w:rFonts w:ascii="Arial" w:hAnsi="Arial" w:cs="Arial"/>
                <w:sz w:val="14"/>
                <w:szCs w:val="14"/>
              </w:rPr>
            </w:pPr>
          </w:p>
        </w:tc>
        <w:tc>
          <w:tcPr>
            <w:tcW w:w="253"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p>
        </w:tc>
        <w:tc>
          <w:tcPr>
            <w:tcW w:w="250"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p>
        </w:tc>
        <w:tc>
          <w:tcPr>
            <w:tcW w:w="249"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E1189" w:rsidRDefault="008E1189" w:rsidP="00132BAC">
            <w:pPr>
              <w:rPr>
                <w:rFonts w:ascii="Arial" w:hAnsi="Arial" w:cs="Arial"/>
                <w:sz w:val="14"/>
                <w:szCs w:val="14"/>
              </w:rPr>
            </w:pPr>
          </w:p>
        </w:tc>
        <w:tc>
          <w:tcPr>
            <w:tcW w:w="254" w:type="pct"/>
            <w:gridSpan w:val="2"/>
            <w:tcBorders>
              <w:top w:val="nil"/>
              <w:left w:val="nil"/>
              <w:bottom w:val="nil"/>
              <w:right w:val="single" w:sz="4" w:space="0" w:color="3366FF"/>
            </w:tcBorders>
            <w:shd w:val="clear" w:color="auto" w:fill="auto"/>
            <w:noWrap/>
            <w:tcMar>
              <w:top w:w="14" w:type="dxa"/>
              <w:left w:w="14" w:type="dxa"/>
              <w:bottom w:w="0" w:type="dxa"/>
              <w:right w:w="14" w:type="dxa"/>
            </w:tcMar>
            <w:vAlign w:val="bottom"/>
            <w:hideMark/>
          </w:tcPr>
          <w:p w:rsidR="008E1189" w:rsidRDefault="008E1189" w:rsidP="00132BAC">
            <w:pPr>
              <w:jc w:val="right"/>
              <w:rPr>
                <w:rFonts w:ascii="Arial" w:hAnsi="Arial" w:cs="Arial"/>
                <w:sz w:val="14"/>
                <w:szCs w:val="14"/>
              </w:rPr>
            </w:pPr>
            <w:r>
              <w:rPr>
                <w:rFonts w:ascii="Arial" w:hAnsi="Arial" w:cs="Arial"/>
                <w:sz w:val="14"/>
                <w:szCs w:val="14"/>
              </w:rPr>
              <w:t> </w:t>
            </w:r>
          </w:p>
        </w:tc>
      </w:tr>
      <w:tr w:rsidR="00CA0E2A" w:rsidTr="00CA0E2A">
        <w:trPr>
          <w:trHeight w:val="20"/>
        </w:trPr>
        <w:tc>
          <w:tcPr>
            <w:tcW w:w="5000" w:type="pct"/>
            <w:gridSpan w:val="25"/>
            <w:tcBorders>
              <w:top w:val="nil"/>
              <w:left w:val="single" w:sz="4" w:space="0" w:color="3366FF"/>
              <w:bottom w:val="nil"/>
              <w:right w:val="single" w:sz="4" w:space="0" w:color="3366FF"/>
            </w:tcBorders>
            <w:shd w:val="clear" w:color="auto" w:fill="auto"/>
            <w:tcMar>
              <w:top w:w="14" w:type="dxa"/>
              <w:left w:w="14" w:type="dxa"/>
              <w:bottom w:w="0" w:type="dxa"/>
              <w:right w:w="14" w:type="dxa"/>
            </w:tcMar>
            <w:hideMark/>
          </w:tcPr>
          <w:p w:rsidR="00CA0E2A" w:rsidRDefault="00CA0E2A" w:rsidP="00132BAC">
            <w:pPr>
              <w:rPr>
                <w:rFonts w:ascii="Arial" w:hAnsi="Arial" w:cs="Arial"/>
                <w:sz w:val="14"/>
                <w:szCs w:val="14"/>
                <w:vertAlign w:val="superscript"/>
              </w:rPr>
            </w:pPr>
          </w:p>
        </w:tc>
      </w:tr>
      <w:tr w:rsidR="00CA0E2A" w:rsidTr="00CA0E2A">
        <w:trPr>
          <w:trHeight w:val="20"/>
        </w:trPr>
        <w:tc>
          <w:tcPr>
            <w:tcW w:w="5000" w:type="pct"/>
            <w:gridSpan w:val="25"/>
            <w:tcBorders>
              <w:top w:val="nil"/>
              <w:left w:val="single" w:sz="4" w:space="0" w:color="3366FF"/>
              <w:bottom w:val="nil"/>
              <w:right w:val="single" w:sz="4" w:space="0" w:color="3366FF"/>
            </w:tcBorders>
            <w:shd w:val="clear" w:color="auto" w:fill="auto"/>
            <w:tcMar>
              <w:top w:w="14" w:type="dxa"/>
              <w:left w:w="14" w:type="dxa"/>
              <w:bottom w:w="0" w:type="dxa"/>
              <w:right w:w="14" w:type="dxa"/>
            </w:tcMar>
            <w:hideMark/>
          </w:tcPr>
          <w:p w:rsidR="00CA0E2A" w:rsidRDefault="00CA0E2A" w:rsidP="00132BAC">
            <w:pPr>
              <w:rPr>
                <w:rFonts w:ascii="Arial" w:hAnsi="Arial" w:cs="Arial"/>
                <w:sz w:val="14"/>
                <w:szCs w:val="14"/>
              </w:rPr>
            </w:pPr>
            <w:r>
              <w:rPr>
                <w:rFonts w:ascii="Arial" w:hAnsi="Arial" w:cs="Arial"/>
                <w:sz w:val="14"/>
                <w:szCs w:val="14"/>
                <w:vertAlign w:val="superscript"/>
              </w:rPr>
              <w:t xml:space="preserve">1 </w:t>
            </w:r>
            <w:r>
              <w:rPr>
                <w:rFonts w:ascii="Arial" w:hAnsi="Arial" w:cs="Arial"/>
                <w:sz w:val="14"/>
                <w:szCs w:val="14"/>
              </w:rPr>
              <w:t>Students enrolled at any time during the year with a tertiary education provider in formal qualifications of greater than 0.03 EFTS (more than one week's duration).</w:t>
            </w:r>
          </w:p>
        </w:tc>
      </w:tr>
      <w:tr w:rsidR="00CA0E2A" w:rsidTr="00CA0E2A">
        <w:trPr>
          <w:trHeight w:val="20"/>
        </w:trPr>
        <w:tc>
          <w:tcPr>
            <w:tcW w:w="5000" w:type="pct"/>
            <w:gridSpan w:val="25"/>
            <w:tcBorders>
              <w:top w:val="nil"/>
              <w:left w:val="single" w:sz="4" w:space="0" w:color="3366FF"/>
              <w:bottom w:val="nil"/>
              <w:right w:val="single" w:sz="4" w:space="0" w:color="3366FF"/>
            </w:tcBorders>
            <w:shd w:val="clear" w:color="auto" w:fill="auto"/>
            <w:tcMar>
              <w:top w:w="14" w:type="dxa"/>
              <w:left w:w="14" w:type="dxa"/>
              <w:bottom w:w="0" w:type="dxa"/>
              <w:right w:w="14" w:type="dxa"/>
            </w:tcMar>
            <w:hideMark/>
          </w:tcPr>
          <w:p w:rsidR="00CA0E2A" w:rsidRDefault="00CA0E2A" w:rsidP="00132BAC">
            <w:pPr>
              <w:rPr>
                <w:rFonts w:ascii="Arial" w:hAnsi="Arial" w:cs="Arial"/>
                <w:sz w:val="14"/>
                <w:szCs w:val="14"/>
              </w:rPr>
            </w:pPr>
            <w:proofErr w:type="gramStart"/>
            <w:r>
              <w:rPr>
                <w:rFonts w:ascii="Arial" w:hAnsi="Arial" w:cs="Arial"/>
                <w:sz w:val="14"/>
                <w:szCs w:val="14"/>
                <w:vertAlign w:val="superscript"/>
              </w:rPr>
              <w:t xml:space="preserve">2  </w:t>
            </w:r>
            <w:r>
              <w:rPr>
                <w:rFonts w:ascii="Arial" w:hAnsi="Arial" w:cs="Arial"/>
                <w:sz w:val="14"/>
                <w:szCs w:val="14"/>
              </w:rPr>
              <w:t>Students</w:t>
            </w:r>
            <w:proofErr w:type="gramEnd"/>
            <w:r>
              <w:rPr>
                <w:rFonts w:ascii="Arial" w:hAnsi="Arial" w:cs="Arial"/>
                <w:sz w:val="14"/>
                <w:szCs w:val="14"/>
              </w:rPr>
              <w:t xml:space="preserve"> enrolled at any time during the year with a tertiary education provider in formal qualifications of 0.03 EFTS or less (one week's duration or less).  This category includes students in the Secondary-Tertiary Alignment Resource (STAR) programme.</w:t>
            </w:r>
          </w:p>
        </w:tc>
      </w:tr>
      <w:tr w:rsidR="00CA0E2A" w:rsidTr="00CA0E2A">
        <w:trPr>
          <w:trHeight w:val="20"/>
        </w:trPr>
        <w:tc>
          <w:tcPr>
            <w:tcW w:w="5000" w:type="pct"/>
            <w:gridSpan w:val="25"/>
            <w:tcBorders>
              <w:top w:val="nil"/>
              <w:left w:val="single" w:sz="4" w:space="0" w:color="3366FF"/>
              <w:bottom w:val="nil"/>
              <w:right w:val="single" w:sz="4" w:space="0" w:color="3366FF"/>
            </w:tcBorders>
            <w:shd w:val="clear" w:color="auto" w:fill="auto"/>
            <w:tcMar>
              <w:top w:w="14" w:type="dxa"/>
              <w:left w:w="14" w:type="dxa"/>
              <w:bottom w:w="0" w:type="dxa"/>
              <w:right w:w="14" w:type="dxa"/>
            </w:tcMar>
            <w:hideMark/>
          </w:tcPr>
          <w:p w:rsidR="00CA0E2A" w:rsidRDefault="00CA0E2A" w:rsidP="00B4798E">
            <w:pPr>
              <w:rPr>
                <w:rFonts w:ascii="Arial" w:hAnsi="Arial" w:cs="Arial"/>
                <w:sz w:val="14"/>
                <w:szCs w:val="14"/>
              </w:rPr>
            </w:pPr>
            <w:r>
              <w:rPr>
                <w:rFonts w:ascii="Arial" w:hAnsi="Arial" w:cs="Arial"/>
                <w:sz w:val="14"/>
                <w:szCs w:val="14"/>
                <w:vertAlign w:val="superscript"/>
              </w:rPr>
              <w:t xml:space="preserve">3 </w:t>
            </w:r>
            <w:r>
              <w:rPr>
                <w:rFonts w:ascii="Arial" w:hAnsi="Arial" w:cs="Arial"/>
                <w:sz w:val="14"/>
                <w:szCs w:val="14"/>
              </w:rPr>
              <w:t>Students enrolled at any time during the year with a tertiary education provider in informal programmes, i.e. programmes not registered on the New Zealand Qualifications</w:t>
            </w:r>
            <w:r w:rsidR="00B4798E">
              <w:rPr>
                <w:rFonts w:ascii="Arial" w:hAnsi="Arial" w:cs="Arial"/>
                <w:sz w:val="14"/>
                <w:szCs w:val="14"/>
              </w:rPr>
              <w:t xml:space="preserve"> Framework</w:t>
            </w:r>
            <w:r>
              <w:rPr>
                <w:rFonts w:ascii="Arial" w:hAnsi="Arial" w:cs="Arial"/>
                <w:sz w:val="14"/>
                <w:szCs w:val="14"/>
              </w:rPr>
              <w:t>.</w:t>
            </w:r>
          </w:p>
        </w:tc>
      </w:tr>
      <w:tr w:rsidR="00CA0E2A" w:rsidTr="00CA0E2A">
        <w:trPr>
          <w:trHeight w:val="20"/>
        </w:trPr>
        <w:tc>
          <w:tcPr>
            <w:tcW w:w="5000" w:type="pct"/>
            <w:gridSpan w:val="25"/>
            <w:tcBorders>
              <w:top w:val="nil"/>
              <w:left w:val="single" w:sz="4" w:space="0" w:color="3366FF"/>
              <w:bottom w:val="single" w:sz="4" w:space="0" w:color="3366FF"/>
              <w:right w:val="single" w:sz="4" w:space="0" w:color="3366FF"/>
            </w:tcBorders>
            <w:shd w:val="clear" w:color="auto" w:fill="auto"/>
            <w:tcMar>
              <w:top w:w="14" w:type="dxa"/>
              <w:left w:w="14" w:type="dxa"/>
              <w:bottom w:w="0" w:type="dxa"/>
              <w:right w:w="14" w:type="dxa"/>
            </w:tcMar>
            <w:hideMark/>
          </w:tcPr>
          <w:p w:rsidR="00CA0E2A" w:rsidRDefault="00CA0E2A" w:rsidP="00132BAC">
            <w:pPr>
              <w:rPr>
                <w:rFonts w:ascii="Arial" w:hAnsi="Arial" w:cs="Arial"/>
                <w:sz w:val="14"/>
                <w:szCs w:val="14"/>
              </w:rPr>
            </w:pPr>
            <w:r>
              <w:rPr>
                <w:rFonts w:ascii="Arial" w:hAnsi="Arial" w:cs="Arial"/>
                <w:sz w:val="14"/>
                <w:szCs w:val="14"/>
              </w:rPr>
              <w:t>Notes: (1</w:t>
            </w:r>
            <w:proofErr w:type="gramStart"/>
            <w:r>
              <w:rPr>
                <w:rFonts w:ascii="Arial" w:hAnsi="Arial" w:cs="Arial"/>
                <w:sz w:val="14"/>
                <w:szCs w:val="14"/>
              </w:rPr>
              <w:t>)  The</w:t>
            </w:r>
            <w:proofErr w:type="gramEnd"/>
            <w:r>
              <w:rPr>
                <w:rFonts w:ascii="Arial" w:hAnsi="Arial" w:cs="Arial"/>
                <w:sz w:val="14"/>
                <w:szCs w:val="14"/>
              </w:rPr>
              <w:t xml:space="preserve"> equivalent full-time student count used in this report does not equate to the funded equivalent full-time student count.  The data is also not adjusted to allow for students who do not complete their study programme.</w:t>
            </w:r>
          </w:p>
          <w:p w:rsidR="00CA0E2A" w:rsidRDefault="00CA0E2A" w:rsidP="00132BAC">
            <w:pPr>
              <w:rPr>
                <w:rFonts w:ascii="Arial" w:hAnsi="Arial" w:cs="Arial"/>
                <w:sz w:val="14"/>
                <w:szCs w:val="14"/>
              </w:rPr>
            </w:pPr>
            <w:r>
              <w:rPr>
                <w:rFonts w:ascii="Arial" w:hAnsi="Arial" w:cs="Arial"/>
                <w:sz w:val="14"/>
                <w:szCs w:val="14"/>
              </w:rPr>
              <w:t>(2)  The colleges of education have merged with nearby universities over the last decade.</w:t>
            </w:r>
          </w:p>
        </w:tc>
      </w:tr>
    </w:tbl>
    <w:p w:rsidR="00132BAC" w:rsidRPr="00132BAC" w:rsidRDefault="00D94DEA" w:rsidP="00132BAC">
      <w:pPr>
        <w:rPr>
          <w:sz w:val="16"/>
          <w:szCs w:val="16"/>
        </w:rPr>
      </w:pPr>
      <w:r>
        <w:br w:type="page"/>
      </w:r>
    </w:p>
    <w:tbl>
      <w:tblPr>
        <w:tblW w:w="5007" w:type="pct"/>
        <w:tblLayout w:type="fixed"/>
        <w:tblCellMar>
          <w:left w:w="0" w:type="dxa"/>
          <w:right w:w="0" w:type="dxa"/>
        </w:tblCellMar>
        <w:tblLook w:val="04A0"/>
      </w:tblPr>
      <w:tblGrid>
        <w:gridCol w:w="2227"/>
        <w:gridCol w:w="527"/>
        <w:gridCol w:w="525"/>
        <w:gridCol w:w="525"/>
        <w:gridCol w:w="526"/>
        <w:gridCol w:w="528"/>
        <w:gridCol w:w="526"/>
        <w:gridCol w:w="526"/>
        <w:gridCol w:w="597"/>
        <w:gridCol w:w="530"/>
        <w:gridCol w:w="266"/>
        <w:gridCol w:w="279"/>
        <w:gridCol w:w="530"/>
        <w:gridCol w:w="526"/>
        <w:gridCol w:w="526"/>
        <w:gridCol w:w="528"/>
        <w:gridCol w:w="530"/>
        <w:gridCol w:w="593"/>
      </w:tblGrid>
      <w:tr w:rsidR="00132BAC" w:rsidTr="00132BAC">
        <w:trPr>
          <w:trHeight w:val="255"/>
        </w:trPr>
        <w:tc>
          <w:tcPr>
            <w:tcW w:w="4726" w:type="pct"/>
            <w:gridSpan w:val="17"/>
            <w:tcBorders>
              <w:top w:val="single" w:sz="4" w:space="0" w:color="0070C0"/>
              <w:left w:val="single" w:sz="4" w:space="0" w:color="0070C0"/>
              <w:bottom w:val="nil"/>
              <w:right w:val="nil"/>
            </w:tcBorders>
            <w:shd w:val="clear" w:color="auto" w:fill="auto"/>
            <w:noWrap/>
            <w:tcMar>
              <w:top w:w="14" w:type="dxa"/>
              <w:left w:w="14" w:type="dxa"/>
              <w:bottom w:w="0" w:type="dxa"/>
              <w:right w:w="14" w:type="dxa"/>
            </w:tcMar>
            <w:vAlign w:val="center"/>
            <w:hideMark/>
          </w:tcPr>
          <w:p w:rsidR="00132BAC" w:rsidRDefault="00132BAC" w:rsidP="00132BAC">
            <w:pPr>
              <w:tabs>
                <w:tab w:val="left" w:pos="2805"/>
              </w:tabs>
              <w:rPr>
                <w:rFonts w:ascii="Arial" w:hAnsi="Arial" w:cs="Arial"/>
                <w:sz w:val="20"/>
                <w:szCs w:val="20"/>
              </w:rPr>
            </w:pPr>
            <w:r>
              <w:rPr>
                <w:rFonts w:ascii="Arial" w:hAnsi="Arial" w:cs="Arial"/>
                <w:b/>
                <w:bCs/>
                <w:sz w:val="18"/>
                <w:szCs w:val="18"/>
              </w:rPr>
              <w:lastRenderedPageBreak/>
              <w:t>Table 8.5:  International tertiary education students in New Zealand by selected characteristics</w:t>
            </w:r>
            <w:r>
              <w:rPr>
                <w:rFonts w:ascii="Arial" w:hAnsi="Arial" w:cs="Arial"/>
                <w:sz w:val="20"/>
                <w:szCs w:val="20"/>
              </w:rPr>
              <w:t> </w:t>
            </w:r>
          </w:p>
        </w:tc>
        <w:tc>
          <w:tcPr>
            <w:tcW w:w="274" w:type="pct"/>
            <w:tcBorders>
              <w:top w:val="single" w:sz="4" w:space="0" w:color="0070C0"/>
              <w:left w:val="nil"/>
              <w:bottom w:val="nil"/>
              <w:right w:val="single" w:sz="4" w:space="0" w:color="0070C0"/>
            </w:tcBorders>
            <w:shd w:val="clear" w:color="auto" w:fill="auto"/>
            <w:noWrap/>
            <w:tcMar>
              <w:top w:w="14" w:type="dxa"/>
              <w:left w:w="14" w:type="dxa"/>
              <w:bottom w:w="0" w:type="dxa"/>
              <w:right w:w="14" w:type="dxa"/>
            </w:tcMar>
            <w:vAlign w:val="bottom"/>
            <w:hideMark/>
          </w:tcPr>
          <w:p w:rsidR="00132BAC" w:rsidRDefault="00132BAC" w:rsidP="00132BAC">
            <w:pPr>
              <w:tabs>
                <w:tab w:val="left" w:pos="2805"/>
              </w:tabs>
              <w:rPr>
                <w:rFonts w:ascii="Arial" w:hAnsi="Arial" w:cs="Arial"/>
                <w:sz w:val="20"/>
                <w:szCs w:val="20"/>
              </w:rPr>
            </w:pPr>
            <w:r>
              <w:rPr>
                <w:rFonts w:ascii="Arial" w:hAnsi="Arial" w:cs="Arial"/>
                <w:sz w:val="20"/>
                <w:szCs w:val="20"/>
              </w:rPr>
              <w:t> </w:t>
            </w:r>
          </w:p>
        </w:tc>
      </w:tr>
      <w:tr w:rsidR="00132BAC" w:rsidTr="00132BAC">
        <w:trPr>
          <w:trHeight w:val="255"/>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center"/>
            <w:hideMark/>
          </w:tcPr>
          <w:p w:rsidR="00132BAC" w:rsidRDefault="00132BAC" w:rsidP="00132BAC">
            <w:pPr>
              <w:tabs>
                <w:tab w:val="left" w:pos="2805"/>
              </w:tabs>
              <w:rPr>
                <w:rFonts w:ascii="Arial" w:hAnsi="Arial" w:cs="Arial"/>
                <w:b/>
                <w:bCs/>
                <w:sz w:val="14"/>
                <w:szCs w:val="14"/>
              </w:rPr>
            </w:pPr>
            <w:r>
              <w:rPr>
                <w:rFonts w:ascii="Arial" w:hAnsi="Arial" w:cs="Arial"/>
                <w:b/>
                <w:bCs/>
                <w:sz w:val="14"/>
                <w:szCs w:val="14"/>
              </w:rPr>
              <w:t> </w:t>
            </w:r>
          </w:p>
        </w:tc>
        <w:tc>
          <w:tcPr>
            <w:tcW w:w="2347" w:type="pct"/>
            <w:gridSpan w:val="10"/>
            <w:tcBorders>
              <w:top w:val="nil"/>
              <w:left w:val="nil"/>
              <w:bottom w:val="nil"/>
              <w:right w:val="nil"/>
            </w:tcBorders>
            <w:shd w:val="clear" w:color="auto" w:fill="auto"/>
            <w:noWrap/>
            <w:tcMar>
              <w:top w:w="14" w:type="dxa"/>
              <w:left w:w="14" w:type="dxa"/>
              <w:bottom w:w="0" w:type="dxa"/>
              <w:right w:w="14" w:type="dxa"/>
            </w:tcMar>
            <w:vAlign w:val="center"/>
            <w:hideMark/>
          </w:tcPr>
          <w:p w:rsidR="00132BAC" w:rsidRDefault="00132BAC" w:rsidP="00132BAC">
            <w:pPr>
              <w:tabs>
                <w:tab w:val="left" w:pos="2805"/>
              </w:tabs>
              <w:jc w:val="center"/>
              <w:rPr>
                <w:rFonts w:ascii="Arial" w:hAnsi="Arial" w:cs="Arial"/>
                <w:b/>
                <w:bCs/>
                <w:sz w:val="14"/>
                <w:szCs w:val="14"/>
              </w:rPr>
            </w:pPr>
            <w:r>
              <w:rPr>
                <w:rFonts w:ascii="Arial" w:hAnsi="Arial" w:cs="Arial"/>
                <w:b/>
                <w:bCs/>
                <w:sz w:val="14"/>
                <w:szCs w:val="14"/>
              </w:rPr>
              <w:t>Student enrolments</w:t>
            </w:r>
          </w:p>
        </w:tc>
        <w:tc>
          <w:tcPr>
            <w:tcW w:w="1624" w:type="pct"/>
            <w:gridSpan w:val="7"/>
            <w:tcBorders>
              <w:top w:val="nil"/>
              <w:left w:val="nil"/>
              <w:bottom w:val="nil"/>
              <w:right w:val="single" w:sz="4" w:space="0" w:color="0070C0"/>
            </w:tcBorders>
            <w:shd w:val="clear" w:color="auto" w:fill="auto"/>
            <w:noWrap/>
            <w:tcMar>
              <w:top w:w="14" w:type="dxa"/>
              <w:left w:w="14" w:type="dxa"/>
              <w:bottom w:w="0" w:type="dxa"/>
              <w:right w:w="14" w:type="dxa"/>
            </w:tcMar>
            <w:vAlign w:val="center"/>
            <w:hideMark/>
          </w:tcPr>
          <w:p w:rsidR="00132BAC" w:rsidRDefault="00132BAC" w:rsidP="00132BAC">
            <w:pPr>
              <w:tabs>
                <w:tab w:val="left" w:pos="2805"/>
              </w:tabs>
              <w:jc w:val="center"/>
              <w:rPr>
                <w:rFonts w:ascii="Arial" w:hAnsi="Arial" w:cs="Arial"/>
                <w:b/>
                <w:bCs/>
                <w:sz w:val="14"/>
                <w:szCs w:val="14"/>
              </w:rPr>
            </w:pPr>
            <w:r>
              <w:rPr>
                <w:rFonts w:ascii="Arial" w:hAnsi="Arial" w:cs="Arial"/>
                <w:b/>
                <w:bCs/>
                <w:sz w:val="14"/>
                <w:szCs w:val="14"/>
              </w:rPr>
              <w:t>Equivalent full-time student units</w:t>
            </w:r>
          </w:p>
        </w:tc>
      </w:tr>
      <w:tr w:rsidR="008F49EB" w:rsidTr="00132BAC">
        <w:trPr>
          <w:trHeight w:val="375"/>
        </w:trPr>
        <w:tc>
          <w:tcPr>
            <w:tcW w:w="1030" w:type="pct"/>
            <w:tcBorders>
              <w:top w:val="nil"/>
              <w:left w:val="single" w:sz="4" w:space="0" w:color="0070C0"/>
              <w:bottom w:val="nil"/>
              <w:right w:val="nil"/>
            </w:tcBorders>
            <w:shd w:val="clear" w:color="auto" w:fill="auto"/>
            <w:tcMar>
              <w:top w:w="14" w:type="dxa"/>
              <w:left w:w="14" w:type="dxa"/>
              <w:bottom w:w="0" w:type="dxa"/>
              <w:right w:w="14" w:type="dxa"/>
            </w:tcMar>
            <w:vAlign w:val="bottom"/>
            <w:hideMark/>
          </w:tcPr>
          <w:p w:rsidR="008F49EB" w:rsidRDefault="008F49EB" w:rsidP="00132BAC">
            <w:pPr>
              <w:tabs>
                <w:tab w:val="left" w:pos="2805"/>
              </w:tabs>
              <w:rPr>
                <w:rFonts w:ascii="Arial" w:hAnsi="Arial" w:cs="Arial"/>
                <w:b/>
                <w:bCs/>
                <w:sz w:val="14"/>
                <w:szCs w:val="14"/>
              </w:rPr>
            </w:pPr>
            <w:r>
              <w:rPr>
                <w:rFonts w:ascii="Arial" w:hAnsi="Arial" w:cs="Arial"/>
                <w:b/>
                <w:bCs/>
                <w:sz w:val="14"/>
                <w:szCs w:val="14"/>
              </w:rPr>
              <w:t>Type of qualification</w:t>
            </w:r>
          </w:p>
        </w:tc>
        <w:tc>
          <w:tcPr>
            <w:tcW w:w="244"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2003</w:t>
            </w:r>
          </w:p>
        </w:tc>
        <w:tc>
          <w:tcPr>
            <w:tcW w:w="243"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2008</w:t>
            </w:r>
          </w:p>
        </w:tc>
        <w:tc>
          <w:tcPr>
            <w:tcW w:w="243"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2009</w:t>
            </w:r>
          </w:p>
        </w:tc>
        <w:tc>
          <w:tcPr>
            <w:tcW w:w="243"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2010</w:t>
            </w:r>
          </w:p>
        </w:tc>
        <w:tc>
          <w:tcPr>
            <w:tcW w:w="244"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2011</w:t>
            </w:r>
          </w:p>
        </w:tc>
        <w:tc>
          <w:tcPr>
            <w:tcW w:w="243"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2012</w:t>
            </w:r>
          </w:p>
        </w:tc>
        <w:tc>
          <w:tcPr>
            <w:tcW w:w="243"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2013</w:t>
            </w:r>
          </w:p>
        </w:tc>
        <w:tc>
          <w:tcPr>
            <w:tcW w:w="276" w:type="pct"/>
            <w:tcBorders>
              <w:top w:val="nil"/>
              <w:left w:val="nil"/>
              <w:bottom w:val="nil"/>
              <w:right w:val="single" w:sz="4" w:space="0" w:color="0070C0"/>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 xml:space="preserve">Change </w:t>
            </w:r>
            <w:r>
              <w:rPr>
                <w:rFonts w:ascii="Arial" w:hAnsi="Arial" w:cs="Arial"/>
                <w:sz w:val="14"/>
                <w:szCs w:val="14"/>
              </w:rPr>
              <w:br/>
              <w:t>12-13</w:t>
            </w:r>
          </w:p>
        </w:tc>
        <w:tc>
          <w:tcPr>
            <w:tcW w:w="245"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2003</w:t>
            </w:r>
          </w:p>
        </w:tc>
        <w:tc>
          <w:tcPr>
            <w:tcW w:w="252" w:type="pct"/>
            <w:gridSpan w:val="2"/>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2008</w:t>
            </w:r>
          </w:p>
        </w:tc>
        <w:tc>
          <w:tcPr>
            <w:tcW w:w="245"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2009</w:t>
            </w:r>
          </w:p>
        </w:tc>
        <w:tc>
          <w:tcPr>
            <w:tcW w:w="243"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2010</w:t>
            </w:r>
          </w:p>
        </w:tc>
        <w:tc>
          <w:tcPr>
            <w:tcW w:w="243"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2011</w:t>
            </w:r>
          </w:p>
        </w:tc>
        <w:tc>
          <w:tcPr>
            <w:tcW w:w="244"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2012</w:t>
            </w:r>
          </w:p>
        </w:tc>
        <w:tc>
          <w:tcPr>
            <w:tcW w:w="245" w:type="pct"/>
            <w:tcBorders>
              <w:top w:val="nil"/>
              <w:left w:val="nil"/>
              <w:bottom w:val="nil"/>
              <w:right w:val="nil"/>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2013</w:t>
            </w:r>
          </w:p>
        </w:tc>
        <w:tc>
          <w:tcPr>
            <w:tcW w:w="274" w:type="pct"/>
            <w:tcBorders>
              <w:top w:val="nil"/>
              <w:left w:val="nil"/>
              <w:bottom w:val="nil"/>
              <w:right w:val="single" w:sz="4" w:space="0" w:color="0070C0"/>
            </w:tcBorders>
            <w:shd w:val="clear" w:color="auto" w:fill="auto"/>
            <w:tcMar>
              <w:top w:w="14" w:type="dxa"/>
              <w:left w:w="14" w:type="dxa"/>
              <w:bottom w:w="0" w:type="dxa"/>
              <w:right w:w="14" w:type="dxa"/>
            </w:tcMar>
            <w:hideMark/>
          </w:tcPr>
          <w:p w:rsidR="008F49EB" w:rsidRDefault="008F49EB">
            <w:pPr>
              <w:jc w:val="center"/>
              <w:rPr>
                <w:rFonts w:ascii="Arial" w:hAnsi="Arial" w:cs="Arial"/>
                <w:sz w:val="14"/>
                <w:szCs w:val="14"/>
              </w:rPr>
            </w:pPr>
            <w:r>
              <w:rPr>
                <w:rFonts w:ascii="Arial" w:hAnsi="Arial" w:cs="Arial"/>
                <w:sz w:val="14"/>
                <w:szCs w:val="14"/>
              </w:rPr>
              <w:t xml:space="preserve">Change </w:t>
            </w:r>
            <w:r>
              <w:rPr>
                <w:rFonts w:ascii="Arial" w:hAnsi="Arial" w:cs="Arial"/>
                <w:sz w:val="14"/>
                <w:szCs w:val="14"/>
              </w:rPr>
              <w:br/>
              <w:t>12-13</w:t>
            </w:r>
          </w:p>
        </w:tc>
      </w:tr>
      <w:tr w:rsidR="008F49EB" w:rsidTr="00132BAC">
        <w:trPr>
          <w:trHeight w:val="270"/>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tabs>
                <w:tab w:val="left" w:pos="2805"/>
              </w:tabs>
              <w:rPr>
                <w:rFonts w:ascii="Arial" w:hAnsi="Arial" w:cs="Arial"/>
                <w:sz w:val="14"/>
                <w:szCs w:val="14"/>
              </w:rPr>
            </w:pPr>
            <w:r>
              <w:rPr>
                <w:rFonts w:ascii="Arial" w:hAnsi="Arial" w:cs="Arial"/>
                <w:sz w:val="14"/>
                <w:szCs w:val="14"/>
              </w:rPr>
              <w:t>Formal &gt; 0.03 EFTS</w:t>
            </w:r>
            <w:r>
              <w:rPr>
                <w:rFonts w:ascii="Arial" w:hAnsi="Arial" w:cs="Arial"/>
                <w:sz w:val="14"/>
                <w:szCs w:val="14"/>
                <w:vertAlign w:val="superscript"/>
              </w:rPr>
              <w:t>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47,128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39,777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43,384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45,602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48,071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47,678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47,951</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36,381</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27,212</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29,667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30,623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32,384</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32,849</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33,107</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0.8%</w:t>
            </w:r>
          </w:p>
        </w:tc>
      </w:tr>
      <w:tr w:rsidR="008F49EB" w:rsidTr="00132BAC">
        <w:trPr>
          <w:trHeight w:val="270"/>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tabs>
                <w:tab w:val="left" w:pos="2805"/>
              </w:tabs>
              <w:rPr>
                <w:rFonts w:ascii="Arial" w:hAnsi="Arial" w:cs="Arial"/>
                <w:sz w:val="14"/>
                <w:szCs w:val="14"/>
              </w:rPr>
            </w:pPr>
            <w:r>
              <w:rPr>
                <w:rFonts w:ascii="Arial" w:hAnsi="Arial" w:cs="Arial"/>
                <w:sz w:val="14"/>
                <w:szCs w:val="14"/>
              </w:rPr>
              <w:t>Formal  ≤ 0.03 EFTS</w:t>
            </w:r>
            <w:r>
              <w:rPr>
                <w:rFonts w:ascii="Arial" w:hAnsi="Arial" w:cs="Arial"/>
                <w:sz w:val="14"/>
                <w:szCs w:val="14"/>
                <w:vertAlign w:val="superscript"/>
              </w:rPr>
              <w:t>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475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676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687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628</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498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531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432</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-18.6%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20</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-41.5%</w:t>
            </w:r>
          </w:p>
        </w:tc>
      </w:tr>
      <w:tr w:rsidR="008F49EB" w:rsidTr="00132BAC">
        <w:trPr>
          <w:trHeight w:val="270"/>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tabs>
                <w:tab w:val="left" w:pos="2805"/>
              </w:tabs>
              <w:rPr>
                <w:rFonts w:ascii="Arial" w:hAnsi="Arial" w:cs="Arial"/>
                <w:sz w:val="14"/>
                <w:szCs w:val="14"/>
              </w:rPr>
            </w:pPr>
            <w:r>
              <w:rPr>
                <w:rFonts w:ascii="Arial" w:hAnsi="Arial" w:cs="Arial"/>
                <w:sz w:val="14"/>
                <w:szCs w:val="14"/>
              </w:rPr>
              <w:t>Informal</w:t>
            </w:r>
            <w:r>
              <w:rPr>
                <w:rFonts w:ascii="Arial" w:hAnsi="Arial" w:cs="Arial"/>
                <w:sz w:val="14"/>
                <w:szCs w:val="14"/>
                <w:vertAlign w:val="superscript"/>
              </w:rPr>
              <w:t>3</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3,967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4,969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4,580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3,701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3,076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3,159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3,012</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-4.7%</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675</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720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687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576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408</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363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297</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-18.3%</w:t>
            </w:r>
          </w:p>
        </w:tc>
      </w:tr>
      <w:tr w:rsidR="00132BAC" w:rsidTr="00132BAC">
        <w:trPr>
          <w:trHeight w:val="270"/>
        </w:trPr>
        <w:tc>
          <w:tcPr>
            <w:tcW w:w="5000" w:type="pct"/>
            <w:gridSpan w:val="18"/>
            <w:tcBorders>
              <w:top w:val="single" w:sz="4" w:space="0" w:color="0070C0"/>
              <w:left w:val="single" w:sz="4" w:space="0" w:color="0070C0"/>
              <w:bottom w:val="single" w:sz="4" w:space="0" w:color="0070C0"/>
              <w:right w:val="single" w:sz="4" w:space="0" w:color="0070C0"/>
            </w:tcBorders>
            <w:shd w:val="clear" w:color="auto" w:fill="auto"/>
            <w:noWrap/>
            <w:tcMar>
              <w:top w:w="14" w:type="dxa"/>
              <w:left w:w="14" w:type="dxa"/>
              <w:bottom w:w="0" w:type="dxa"/>
              <w:right w:w="14" w:type="dxa"/>
            </w:tcMar>
            <w:vAlign w:val="bottom"/>
            <w:hideMark/>
          </w:tcPr>
          <w:p w:rsidR="00132BAC" w:rsidRDefault="00132BAC" w:rsidP="00132BAC">
            <w:pPr>
              <w:tabs>
                <w:tab w:val="left" w:pos="2805"/>
              </w:tabs>
              <w:jc w:val="center"/>
              <w:rPr>
                <w:rFonts w:ascii="Arial" w:hAnsi="Arial" w:cs="Arial"/>
                <w:b/>
                <w:bCs/>
                <w:sz w:val="14"/>
                <w:szCs w:val="14"/>
              </w:rPr>
            </w:pPr>
            <w:r>
              <w:rPr>
                <w:rFonts w:ascii="Arial" w:hAnsi="Arial" w:cs="Arial"/>
                <w:b/>
                <w:bCs/>
                <w:sz w:val="14"/>
                <w:szCs w:val="14"/>
              </w:rPr>
              <w:t>International students enrolled in formal qualifications &gt; 0.03 EFTS</w:t>
            </w:r>
            <w:r>
              <w:rPr>
                <w:rFonts w:ascii="Arial" w:hAnsi="Arial" w:cs="Arial"/>
                <w:b/>
                <w:bCs/>
                <w:sz w:val="14"/>
                <w:szCs w:val="14"/>
                <w:vertAlign w:val="superscript"/>
              </w:rPr>
              <w:t>1</w:t>
            </w:r>
          </w:p>
        </w:tc>
      </w:tr>
      <w:tr w:rsidR="00132BAC" w:rsidRPr="0017216D"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b/>
                <w:bCs/>
                <w:sz w:val="14"/>
                <w:szCs w:val="14"/>
              </w:rPr>
            </w:pPr>
            <w:r w:rsidRPr="0017216D">
              <w:rPr>
                <w:rFonts w:ascii="Arial" w:hAnsi="Arial" w:cs="Arial"/>
                <w:b/>
                <w:bCs/>
                <w:sz w:val="14"/>
                <w:szCs w:val="14"/>
              </w:rPr>
              <w:t>Qualification level</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43" w:type="pct"/>
            <w:tcBorders>
              <w:top w:val="nil"/>
              <w:left w:val="nil"/>
              <w:bottom w:val="nil"/>
              <w:right w:val="nil"/>
            </w:tcBorders>
            <w:shd w:val="clear" w:color="auto" w:fill="auto"/>
            <w:noWrap/>
            <w:tcMar>
              <w:top w:w="14" w:type="dxa"/>
              <w:left w:w="163" w:type="dxa"/>
              <w:bottom w:w="0" w:type="dxa"/>
              <w:right w:w="14" w:type="dxa"/>
            </w:tcMar>
            <w:vAlign w:val="bottom"/>
            <w:hideMark/>
          </w:tcPr>
          <w:p w:rsidR="00132BAC" w:rsidRPr="0017216D" w:rsidRDefault="00132BAC" w:rsidP="00132BAC">
            <w:pPr>
              <w:tabs>
                <w:tab w:val="left" w:pos="2805"/>
              </w:tabs>
              <w:ind w:firstLineChars="100" w:firstLine="140"/>
              <w:rPr>
                <w:rFonts w:ascii="Arial" w:hAnsi="Arial" w:cs="Arial"/>
                <w:sz w:val="14"/>
                <w:szCs w:val="14"/>
              </w:rPr>
            </w:pP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r w:rsidRPr="0017216D">
              <w:rPr>
                <w:rFonts w:ascii="Arial" w:hAnsi="Arial" w:cs="Arial"/>
                <w:sz w:val="14"/>
                <w:szCs w:val="14"/>
              </w:rPr>
              <w:t> </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p>
        </w:tc>
        <w:tc>
          <w:tcPr>
            <w:tcW w:w="244"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jc w:val="right"/>
              <w:rPr>
                <w:rFonts w:ascii="Arial" w:hAnsi="Arial" w:cs="Arial"/>
                <w:sz w:val="14"/>
                <w:szCs w:val="14"/>
              </w:rPr>
            </w:pP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20"/>
                <w:szCs w:val="20"/>
              </w:rPr>
            </w:pPr>
            <w:r w:rsidRPr="0017216D">
              <w:rPr>
                <w:rFonts w:ascii="Arial" w:hAnsi="Arial" w:cs="Arial"/>
                <w:sz w:val="20"/>
                <w:szCs w:val="20"/>
              </w:rPr>
              <w:t> </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Certificates 1-3</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10,068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4,462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4,530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4,480</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4,795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4,573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4,438</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5,015</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1,934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1,981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1,852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1,950</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1,712</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1,683</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Certificates 4</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5,016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5,066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5,592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5,353</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5,543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4,994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5,069</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1.5%</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2,890</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2,461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2,865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2,650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2,469</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2,288</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2,282</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-0.3%</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Diplomas 5-7</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13,243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8,711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11,045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12,126</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13,518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12,980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11,533</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-11.1%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9,424</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5,389</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6,644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6,896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8,001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7,935</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7,324</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-7.7%</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proofErr w:type="spellStart"/>
            <w:r>
              <w:rPr>
                <w:rFonts w:ascii="Arial" w:hAnsi="Arial" w:cs="Arial"/>
                <w:sz w:val="14"/>
                <w:szCs w:val="14"/>
              </w:rPr>
              <w:t>Bachelors</w:t>
            </w:r>
            <w:proofErr w:type="spellEnd"/>
            <w:r>
              <w:rPr>
                <w:rFonts w:ascii="Arial" w:hAnsi="Arial" w:cs="Arial"/>
                <w:sz w:val="14"/>
                <w:szCs w:val="14"/>
              </w:rPr>
              <w:t xml:space="preserve"> degrees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18,164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16,389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16,236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16,864</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17,401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17,650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17,869</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15,075</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11,880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11,684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12,217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12,687</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13,111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13,164</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0.4%</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 xml:space="preserve">Graduate </w:t>
            </w:r>
            <w:proofErr w:type="spellStart"/>
            <w:r>
              <w:rPr>
                <w:rFonts w:ascii="Arial" w:hAnsi="Arial" w:cs="Arial"/>
                <w:sz w:val="14"/>
                <w:szCs w:val="14"/>
              </w:rPr>
              <w:t>certs</w:t>
            </w:r>
            <w:proofErr w:type="spellEnd"/>
            <w:r>
              <w:rPr>
                <w:rFonts w:ascii="Arial" w:hAnsi="Arial" w:cs="Arial"/>
                <w:sz w:val="14"/>
                <w:szCs w:val="14"/>
              </w:rPr>
              <w:t>/dips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1769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1,754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2,025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2,005</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2,063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2,270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2,557</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1,073</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1,033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1,261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1,267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1,277</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1,344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1,527</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13.6%</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 xml:space="preserve">Honours/post. </w:t>
            </w:r>
            <w:proofErr w:type="spellStart"/>
            <w:r>
              <w:rPr>
                <w:rFonts w:ascii="Arial" w:hAnsi="Arial" w:cs="Arial"/>
                <w:sz w:val="14"/>
                <w:szCs w:val="14"/>
              </w:rPr>
              <w:t>certs</w:t>
            </w:r>
            <w:proofErr w:type="spellEnd"/>
            <w:r>
              <w:rPr>
                <w:rFonts w:ascii="Arial" w:hAnsi="Arial" w:cs="Arial"/>
                <w:sz w:val="14"/>
                <w:szCs w:val="14"/>
              </w:rPr>
              <w:t>/dips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1696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2,182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2,590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2,835</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2,874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2,873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3,030</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5.5%</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1,245</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1,585</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1,874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2,044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2,047</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2,002</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2,172</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8.5%</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Masters degrees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1820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1,989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2,080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2,234</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2,154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2,486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2,927</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17.7%</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1,258</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1,264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1,315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1,387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1,352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1,680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2,003</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19.2%</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Doctoral degrees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461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1960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2,405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2,796</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3,137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3,354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3,654</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8.9%</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401</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1,668</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2,044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2,311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2,600</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2,777</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2,953</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6.3%</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b/>
                <w:bCs/>
                <w:sz w:val="14"/>
                <w:szCs w:val="14"/>
              </w:rPr>
            </w:pPr>
            <w:r>
              <w:rPr>
                <w:rFonts w:ascii="Arial" w:hAnsi="Arial" w:cs="Arial"/>
                <w:b/>
                <w:bCs/>
                <w:sz w:val="14"/>
                <w:szCs w:val="14"/>
              </w:rPr>
              <w:t>Age group</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 </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 </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Under 18 years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537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635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622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734</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864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884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939</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6.2%</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286</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304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322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368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383</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388</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402</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3.6%</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18-19 years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6,726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4,615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5,366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5,431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5,912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5,806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5,993</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3.2%</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5,239</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3,356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3,805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3,774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4,019</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4,182</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4,392</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5.0%</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20-24 years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28,594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20,616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22,099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23,744</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24,899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24,412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24,289</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-0.5%</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23,356</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14,954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15,881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16,700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17,745</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17,606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17,631</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0.1%</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25-39 years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10,106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12,253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13,529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13,991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14,653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14,956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15,119</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6,966</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7,763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8,706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8,867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9,308</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9,761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9,775</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0.1%</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40 years &amp; over</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1108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1,658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1,768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1,702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1,743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1,620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1,611</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503</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836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954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915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928</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913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907</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-0.6%</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b/>
                <w:bCs/>
                <w:sz w:val="14"/>
                <w:szCs w:val="14"/>
              </w:rPr>
            </w:pPr>
            <w:r>
              <w:rPr>
                <w:rFonts w:ascii="Arial" w:hAnsi="Arial" w:cs="Arial"/>
                <w:b/>
                <w:bCs/>
                <w:sz w:val="14"/>
                <w:szCs w:val="14"/>
              </w:rPr>
              <w:t>Gender</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sz w:val="20"/>
                <w:szCs w:val="20"/>
              </w:rPr>
            </w:pP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FF0000"/>
                <w:sz w:val="14"/>
                <w:szCs w:val="14"/>
              </w:rPr>
            </w:pPr>
            <w:r>
              <w:rPr>
                <w:rFonts w:ascii="Arial" w:hAnsi="Arial" w:cs="Arial"/>
                <w:color w:val="FF0000"/>
                <w:sz w:val="14"/>
                <w:szCs w:val="14"/>
              </w:rPr>
              <w:t> </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r>
              <w:rPr>
                <w:rFonts w:ascii="Arial" w:hAnsi="Arial" w:cs="Arial"/>
                <w:sz w:val="20"/>
                <w:szCs w:val="20"/>
              </w:rPr>
              <w:t> </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Females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22,738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18,259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19,647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20,675</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21,525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21,352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21,472</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17,746</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12,571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13,499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13,985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14,629</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14,848</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14,805</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-0.3%</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Males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24,390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21,518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23,737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24,927</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26,546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26,326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26,479</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18,635</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14,641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16,168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16,639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17,755</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18,001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18,303</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1.7%</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b/>
                <w:bCs/>
                <w:sz w:val="14"/>
                <w:szCs w:val="14"/>
              </w:rPr>
            </w:pPr>
            <w:r>
              <w:rPr>
                <w:rFonts w:ascii="Arial" w:hAnsi="Arial" w:cs="Arial"/>
                <w:b/>
                <w:bCs/>
                <w:sz w:val="14"/>
                <w:szCs w:val="14"/>
              </w:rPr>
              <w:t>Common fields of study</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 </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 </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Business and management</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16,347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10,037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11,323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12,334</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13,114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13,269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13,548</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5,233</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3,576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4,004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4,393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4,872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4,957</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5,088</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2.6%</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Language and literature</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17,060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9,292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10,267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10,705</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11,169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10,486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9,875</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-5.8%</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6,352</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3,340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3,806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3,729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4,060</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3,736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3,355</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-10.2%</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Food and hospitality</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1,103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2,141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2,636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3,038</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3,470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3,493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3,458</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448</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1,073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1,305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1,447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1,791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1,814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1,722</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-5.1%</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Computer science</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6,651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3,738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4,551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4,654</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4,641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4,638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4,826</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1,791</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1,152</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1,595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1,611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1,552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1,587</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1,564</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Accountancy</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10,893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5,029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5,457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5,961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6,253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5,735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5,974</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4.2%</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2,431</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1,216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1,257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1,295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1,397</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1,423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1,530</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7.5%</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Sales and marketing</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7,339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3,865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4,057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4,327</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4,808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4,880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5,027</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1,565</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846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901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923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990</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1,025</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1,116</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8.8%</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Biological sciences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1,529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2,267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2,541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2,582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2,872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2,778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2,709</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-2.5%</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564</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950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1,019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1,044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1,133</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1,151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1,109</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-3.6%</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Banking, finance and related fields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4,282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2,897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2,543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2,748</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3,191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3,154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3,509</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11.3%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973</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834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732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780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912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938</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1,042</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11.0%</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Information systems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8,601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3,689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3,976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4,060</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3,431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3,515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3,408</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1,841</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988</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1,023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965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945</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970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971</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0.2%</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Mathematical sciences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8,246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3,823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3,891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3,991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3,903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4,135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4,416</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6.8%</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1,602</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816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891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896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867</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908</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937</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3.2%</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14"/>
                <w:szCs w:val="14"/>
              </w:rPr>
            </w:pPr>
            <w:r>
              <w:rPr>
                <w:rFonts w:ascii="Arial" w:hAnsi="Arial" w:cs="Arial"/>
                <w:sz w:val="14"/>
                <w:szCs w:val="14"/>
              </w:rPr>
              <w:t>Other fields of study</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55,864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41,008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43,457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44,933</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45,714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45,543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47,122</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3.5%</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13,581</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12,421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13,133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13,540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13,862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14,340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14,673</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2.3%</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b/>
                <w:bCs/>
                <w:sz w:val="14"/>
                <w:szCs w:val="14"/>
              </w:rPr>
            </w:pPr>
            <w:r>
              <w:rPr>
                <w:rFonts w:ascii="Arial" w:hAnsi="Arial" w:cs="Arial"/>
                <w:b/>
                <w:bCs/>
                <w:sz w:val="14"/>
                <w:szCs w:val="14"/>
              </w:rPr>
              <w:t>Sub-sector</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 </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Universities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25,444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21,487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22,288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22,941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23,055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23,407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24,233</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3.5%</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21,224</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16,453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17,137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17,539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17,601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18,099</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18,539</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2.4%</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Polytechnics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12,927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10,315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11,613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12,351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12,597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12,483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12,336</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-1.2%</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8,558</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5,789</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6,627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7,278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7,769</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7,829</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7,754</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-1.0%</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proofErr w:type="spellStart"/>
            <w:r>
              <w:rPr>
                <w:rFonts w:ascii="Arial" w:hAnsi="Arial" w:cs="Arial"/>
                <w:sz w:val="14"/>
                <w:szCs w:val="14"/>
              </w:rPr>
              <w:t>Wananga</w:t>
            </w:r>
            <w:proofErr w:type="spellEnd"/>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 </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 </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 </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Public providers</w:t>
            </w:r>
          </w:p>
        </w:tc>
        <w:tc>
          <w:tcPr>
            <w:tcW w:w="244"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37,680</w:t>
            </w:r>
          </w:p>
        </w:tc>
        <w:tc>
          <w:tcPr>
            <w:tcW w:w="243"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31,615</w:t>
            </w:r>
          </w:p>
        </w:tc>
        <w:tc>
          <w:tcPr>
            <w:tcW w:w="243"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33,719</w:t>
            </w:r>
          </w:p>
        </w:tc>
        <w:tc>
          <w:tcPr>
            <w:tcW w:w="243"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35,090</w:t>
            </w:r>
          </w:p>
        </w:tc>
        <w:tc>
          <w:tcPr>
            <w:tcW w:w="244"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35,481</w:t>
            </w:r>
          </w:p>
        </w:tc>
        <w:tc>
          <w:tcPr>
            <w:tcW w:w="243"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35,684</w:t>
            </w:r>
          </w:p>
        </w:tc>
        <w:tc>
          <w:tcPr>
            <w:tcW w:w="243"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36,368</w:t>
            </w:r>
          </w:p>
        </w:tc>
        <w:tc>
          <w:tcPr>
            <w:tcW w:w="276" w:type="pct"/>
            <w:tcBorders>
              <w:top w:val="single" w:sz="4" w:space="0" w:color="0070C0"/>
              <w:left w:val="nil"/>
              <w:bottom w:val="single" w:sz="4" w:space="0" w:color="0070C0"/>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1.9%</w:t>
            </w:r>
          </w:p>
        </w:tc>
        <w:tc>
          <w:tcPr>
            <w:tcW w:w="245"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29,783</w:t>
            </w:r>
          </w:p>
        </w:tc>
        <w:tc>
          <w:tcPr>
            <w:tcW w:w="252" w:type="pct"/>
            <w:gridSpan w:val="2"/>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22,243</w:t>
            </w:r>
          </w:p>
        </w:tc>
        <w:tc>
          <w:tcPr>
            <w:tcW w:w="245"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23,764</w:t>
            </w:r>
          </w:p>
        </w:tc>
        <w:tc>
          <w:tcPr>
            <w:tcW w:w="243"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24,817</w:t>
            </w:r>
          </w:p>
        </w:tc>
        <w:tc>
          <w:tcPr>
            <w:tcW w:w="243"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25,372</w:t>
            </w:r>
          </w:p>
        </w:tc>
        <w:tc>
          <w:tcPr>
            <w:tcW w:w="244"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25,928</w:t>
            </w:r>
          </w:p>
        </w:tc>
        <w:tc>
          <w:tcPr>
            <w:tcW w:w="245" w:type="pct"/>
            <w:tcBorders>
              <w:top w:val="single" w:sz="4" w:space="0" w:color="0070C0"/>
              <w:left w:val="nil"/>
              <w:bottom w:val="single" w:sz="4" w:space="0" w:color="0070C0"/>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26,298</w:t>
            </w:r>
          </w:p>
        </w:tc>
        <w:tc>
          <w:tcPr>
            <w:tcW w:w="274" w:type="pct"/>
            <w:tcBorders>
              <w:top w:val="single" w:sz="4" w:space="0" w:color="0070C0"/>
              <w:left w:val="nil"/>
              <w:bottom w:val="single" w:sz="4" w:space="0" w:color="0070C0"/>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Private training establishments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10,293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8,535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10,090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10,865</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12,983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12,371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11,994</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-3.0%</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6,597</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4,969</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5,903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5,807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7,012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6,921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6,809</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b/>
                <w:bCs/>
                <w:sz w:val="14"/>
                <w:szCs w:val="14"/>
              </w:rPr>
            </w:pPr>
            <w:r>
              <w:rPr>
                <w:rFonts w:ascii="Arial" w:hAnsi="Arial" w:cs="Arial"/>
                <w:b/>
                <w:bCs/>
                <w:sz w:val="14"/>
                <w:szCs w:val="14"/>
              </w:rPr>
              <w:t>Study type</w:t>
            </w:r>
          </w:p>
        </w:tc>
        <w:tc>
          <w:tcPr>
            <w:tcW w:w="244" w:type="pct"/>
            <w:tcBorders>
              <w:top w:val="nil"/>
              <w:left w:val="nil"/>
              <w:bottom w:val="nil"/>
              <w:right w:val="nil"/>
            </w:tcBorders>
            <w:shd w:val="clear" w:color="auto" w:fill="auto"/>
            <w:noWrap/>
            <w:tcMar>
              <w:top w:w="14" w:type="dxa"/>
              <w:left w:w="14" w:type="dxa"/>
              <w:bottom w:w="0" w:type="dxa"/>
              <w:right w:w="163" w:type="dxa"/>
            </w:tcMar>
            <w:vAlign w:val="bottom"/>
            <w:hideMark/>
          </w:tcPr>
          <w:p w:rsidR="008F49EB" w:rsidRDefault="008F49EB">
            <w:pPr>
              <w:rPr>
                <w:rFonts w:ascii="Arial" w:hAnsi="Arial" w:cs="Arial"/>
                <w:color w:val="FF0000"/>
                <w:sz w:val="20"/>
                <w:szCs w:val="20"/>
              </w:rPr>
            </w:pPr>
          </w:p>
        </w:tc>
        <w:tc>
          <w:tcPr>
            <w:tcW w:w="243" w:type="pct"/>
            <w:tcBorders>
              <w:top w:val="nil"/>
              <w:left w:val="nil"/>
              <w:bottom w:val="nil"/>
              <w:right w:val="nil"/>
            </w:tcBorders>
            <w:shd w:val="clear" w:color="auto" w:fill="auto"/>
            <w:noWrap/>
            <w:tcMar>
              <w:top w:w="14" w:type="dxa"/>
              <w:left w:w="14" w:type="dxa"/>
              <w:bottom w:w="0" w:type="dxa"/>
              <w:right w:w="163" w:type="dxa"/>
            </w:tcMar>
            <w:vAlign w:val="bottom"/>
            <w:hideMark/>
          </w:tcPr>
          <w:p w:rsidR="008F49EB" w:rsidRDefault="008F49EB">
            <w:pPr>
              <w:rPr>
                <w:rFonts w:ascii="Arial" w:hAnsi="Arial" w:cs="Arial"/>
                <w:color w:val="FF0000"/>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ind w:firstLineChars="100" w:firstLine="200"/>
              <w:rPr>
                <w:rFonts w:ascii="Arial" w:hAnsi="Arial" w:cs="Arial"/>
                <w:sz w:val="20"/>
                <w:szCs w:val="20"/>
              </w:rPr>
            </w:pP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 </w:t>
            </w:r>
          </w:p>
        </w:tc>
        <w:tc>
          <w:tcPr>
            <w:tcW w:w="245" w:type="pct"/>
            <w:tcBorders>
              <w:top w:val="nil"/>
              <w:left w:val="nil"/>
              <w:bottom w:val="nil"/>
              <w:right w:val="nil"/>
            </w:tcBorders>
            <w:shd w:val="clear" w:color="auto" w:fill="auto"/>
            <w:noWrap/>
            <w:tcMar>
              <w:top w:w="14" w:type="dxa"/>
              <w:left w:w="14" w:type="dxa"/>
              <w:bottom w:w="0" w:type="dxa"/>
              <w:right w:w="163" w:type="dxa"/>
            </w:tcMar>
            <w:vAlign w:val="bottom"/>
            <w:hideMark/>
          </w:tcPr>
          <w:p w:rsidR="008F49EB" w:rsidRDefault="008F49EB">
            <w:pPr>
              <w:rPr>
                <w:rFonts w:ascii="Arial" w:hAnsi="Arial" w:cs="Arial"/>
                <w:color w:val="FF0000"/>
                <w:sz w:val="20"/>
                <w:szCs w:val="20"/>
              </w:rPr>
            </w:pP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ind w:firstLineChars="100" w:firstLine="200"/>
              <w:jc w:val="right"/>
              <w:rPr>
                <w:rFonts w:ascii="Arial" w:hAnsi="Arial" w:cs="Arial"/>
                <w:sz w:val="20"/>
                <w:szCs w:val="20"/>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rPr>
                <w:rFonts w:ascii="Arial" w:hAnsi="Arial" w:cs="Arial"/>
                <w:sz w:val="20"/>
                <w:szCs w:val="20"/>
              </w:rPr>
            </w:pPr>
            <w:r>
              <w:rPr>
                <w:rFonts w:ascii="Arial" w:hAnsi="Arial" w:cs="Arial"/>
                <w:sz w:val="20"/>
                <w:szCs w:val="20"/>
              </w:rPr>
              <w:t> </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Full-time full-year</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23,554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16,941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18,330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18,622</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19,294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20,503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20,987</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25,083</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17,509</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19,021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19,230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20,010</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21,224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21,743</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2.4%</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Full-time part-year</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13,812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11,369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13,317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12,905</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14,304</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13,323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13,145</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6,949</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5,277</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6,095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6,013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6,769</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6,158</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6,001</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-2.5%</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Part-time full-year</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4,333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3,838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4,078</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4,536</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4,996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4,831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4,900</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2,558</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2,154</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2,276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2,572</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2,898</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2,846</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2,800</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-1.6%</w:t>
            </w:r>
          </w:p>
        </w:tc>
      </w:tr>
      <w:tr w:rsidR="008F49EB"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8F49EB" w:rsidRDefault="008F49EB" w:rsidP="00132BAC">
            <w:pPr>
              <w:rPr>
                <w:rFonts w:ascii="Arial" w:hAnsi="Arial" w:cs="Arial"/>
                <w:sz w:val="14"/>
                <w:szCs w:val="14"/>
              </w:rPr>
            </w:pPr>
            <w:r>
              <w:rPr>
                <w:rFonts w:ascii="Arial" w:hAnsi="Arial" w:cs="Arial"/>
                <w:sz w:val="14"/>
                <w:szCs w:val="14"/>
              </w:rPr>
              <w:t>Part-time part-year</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5,429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7,629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7,659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9,539</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9,477</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9,021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8,919</w:t>
            </w:r>
          </w:p>
        </w:tc>
        <w:tc>
          <w:tcPr>
            <w:tcW w:w="276"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-1.1%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1,791</w:t>
            </w:r>
          </w:p>
        </w:tc>
        <w:tc>
          <w:tcPr>
            <w:tcW w:w="252" w:type="pct"/>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2,273</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2,276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2,809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2,707</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2,621</w:t>
            </w: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color w:val="000000"/>
                <w:sz w:val="14"/>
                <w:szCs w:val="14"/>
              </w:rPr>
            </w:pPr>
            <w:r>
              <w:rPr>
                <w:rFonts w:ascii="Arial" w:hAnsi="Arial" w:cs="Arial"/>
                <w:color w:val="000000"/>
                <w:sz w:val="14"/>
                <w:szCs w:val="14"/>
              </w:rPr>
              <w:t>2,564</w:t>
            </w: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8F49EB" w:rsidRDefault="008F49EB">
            <w:pPr>
              <w:jc w:val="right"/>
              <w:rPr>
                <w:rFonts w:ascii="Arial" w:hAnsi="Arial" w:cs="Arial"/>
                <w:sz w:val="14"/>
                <w:szCs w:val="14"/>
              </w:rPr>
            </w:pPr>
            <w:r>
              <w:rPr>
                <w:rFonts w:ascii="Arial" w:hAnsi="Arial" w:cs="Arial"/>
                <w:sz w:val="14"/>
                <w:szCs w:val="14"/>
              </w:rPr>
              <w:t>-2.2%</w:t>
            </w:r>
          </w:p>
        </w:tc>
      </w:tr>
      <w:tr w:rsidR="00132BAC" w:rsidRPr="0017216D" w:rsidTr="00132BAC">
        <w:trPr>
          <w:trHeight w:val="227"/>
        </w:trPr>
        <w:tc>
          <w:tcPr>
            <w:tcW w:w="5000" w:type="pct"/>
            <w:gridSpan w:val="18"/>
            <w:tcBorders>
              <w:top w:val="nil"/>
              <w:left w:val="single" w:sz="4" w:space="0" w:color="0070C0"/>
              <w:bottom w:val="nil"/>
              <w:right w:val="single" w:sz="4" w:space="0" w:color="0070C0"/>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r w:rsidRPr="0017216D">
              <w:rPr>
                <w:rFonts w:ascii="Arial" w:hAnsi="Arial" w:cs="Arial"/>
                <w:b/>
                <w:bCs/>
                <w:sz w:val="14"/>
                <w:szCs w:val="14"/>
              </w:rPr>
              <w:t xml:space="preserve">Completed qualifications </w:t>
            </w:r>
          </w:p>
        </w:tc>
      </w:tr>
      <w:tr w:rsidR="00132BAC" w:rsidRPr="0017216D"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r w:rsidRPr="0017216D">
              <w:rPr>
                <w:rFonts w:ascii="Arial" w:hAnsi="Arial" w:cs="Arial"/>
                <w:sz w:val="14"/>
                <w:szCs w:val="14"/>
              </w:rPr>
              <w:t xml:space="preserve">Number of students </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7,475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12,046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12,873</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13,940</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14,735</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17,078</w:t>
            </w:r>
          </w:p>
        </w:tc>
        <w:tc>
          <w:tcPr>
            <w:tcW w:w="243"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jc w:val="right"/>
              <w:rPr>
                <w:rFonts w:ascii="Arial" w:hAnsi="Arial" w:cs="Arial"/>
                <w:sz w:val="14"/>
                <w:szCs w:val="14"/>
              </w:rPr>
            </w:pPr>
          </w:p>
        </w:tc>
        <w:tc>
          <w:tcPr>
            <w:tcW w:w="276"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jc w:val="right"/>
              <w:rPr>
                <w:rFonts w:ascii="Arial" w:hAnsi="Arial" w:cs="Arial"/>
                <w:sz w:val="14"/>
                <w:szCs w:val="14"/>
              </w:rPr>
            </w:pPr>
          </w:p>
        </w:tc>
        <w:tc>
          <w:tcPr>
            <w:tcW w:w="245"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52" w:type="pct"/>
            <w:gridSpan w:val="2"/>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5"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3"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3"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4"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r w:rsidRPr="0017216D">
              <w:rPr>
                <w:rFonts w:ascii="Arial" w:hAnsi="Arial" w:cs="Arial"/>
                <w:sz w:val="14"/>
                <w:szCs w:val="14"/>
              </w:rPr>
              <w:t> </w:t>
            </w:r>
          </w:p>
        </w:tc>
      </w:tr>
      <w:tr w:rsidR="00132BAC" w:rsidRPr="0017216D" w:rsidTr="00132BAC">
        <w:trPr>
          <w:trHeight w:val="227"/>
        </w:trPr>
        <w:tc>
          <w:tcPr>
            <w:tcW w:w="1030" w:type="pct"/>
            <w:tcBorders>
              <w:top w:val="nil"/>
              <w:left w:val="single" w:sz="4" w:space="0" w:color="0070C0"/>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rPr>
                <w:rFonts w:ascii="Arial" w:hAnsi="Arial" w:cs="Arial"/>
                <w:sz w:val="14"/>
                <w:szCs w:val="14"/>
              </w:rPr>
            </w:pPr>
            <w:r w:rsidRPr="0017216D">
              <w:rPr>
                <w:rFonts w:ascii="Arial" w:hAnsi="Arial" w:cs="Arial"/>
                <w:sz w:val="14"/>
                <w:szCs w:val="14"/>
              </w:rPr>
              <w:t>Number of qualifications</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7,676</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12,489</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13,470</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14,561</w:t>
            </w:r>
          </w:p>
        </w:tc>
        <w:tc>
          <w:tcPr>
            <w:tcW w:w="244"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15,471</w:t>
            </w:r>
          </w:p>
        </w:tc>
        <w:tc>
          <w:tcPr>
            <w:tcW w:w="243"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Default="00132BAC" w:rsidP="00132BAC">
            <w:pPr>
              <w:jc w:val="right"/>
              <w:rPr>
                <w:rFonts w:ascii="Arial" w:hAnsi="Arial" w:cs="Arial"/>
                <w:sz w:val="14"/>
                <w:szCs w:val="14"/>
              </w:rPr>
            </w:pPr>
            <w:r>
              <w:rPr>
                <w:rFonts w:ascii="Arial" w:hAnsi="Arial" w:cs="Arial"/>
                <w:sz w:val="14"/>
                <w:szCs w:val="14"/>
              </w:rPr>
              <w:t>17,813</w:t>
            </w:r>
          </w:p>
        </w:tc>
        <w:tc>
          <w:tcPr>
            <w:tcW w:w="243"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jc w:val="right"/>
              <w:rPr>
                <w:rFonts w:ascii="Arial" w:hAnsi="Arial" w:cs="Arial"/>
                <w:sz w:val="14"/>
                <w:szCs w:val="14"/>
              </w:rPr>
            </w:pPr>
          </w:p>
        </w:tc>
        <w:tc>
          <w:tcPr>
            <w:tcW w:w="276"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jc w:val="right"/>
              <w:rPr>
                <w:rFonts w:ascii="Arial" w:hAnsi="Arial" w:cs="Arial"/>
                <w:sz w:val="14"/>
                <w:szCs w:val="14"/>
              </w:rPr>
            </w:pPr>
          </w:p>
        </w:tc>
        <w:tc>
          <w:tcPr>
            <w:tcW w:w="245"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52" w:type="pct"/>
            <w:gridSpan w:val="2"/>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5"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3"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3"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4" w:type="pct"/>
            <w:tcBorders>
              <w:top w:val="nil"/>
              <w:left w:val="nil"/>
              <w:bottom w:val="nil"/>
              <w:right w:val="nil"/>
            </w:tcBorders>
            <w:shd w:val="clear" w:color="auto" w:fill="auto"/>
            <w:noWrap/>
            <w:tcMar>
              <w:top w:w="14" w:type="dxa"/>
              <w:left w:w="14" w:type="dxa"/>
              <w:bottom w:w="0" w:type="dxa"/>
              <w:right w:w="163"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45" w:type="pct"/>
            <w:tcBorders>
              <w:top w:val="nil"/>
              <w:left w:val="nil"/>
              <w:bottom w:val="nil"/>
              <w:right w:val="nil"/>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p>
        </w:tc>
        <w:tc>
          <w:tcPr>
            <w:tcW w:w="274" w:type="pct"/>
            <w:tcBorders>
              <w:top w:val="nil"/>
              <w:left w:val="nil"/>
              <w:bottom w:val="nil"/>
              <w:right w:val="single" w:sz="4" w:space="0" w:color="0070C0"/>
            </w:tcBorders>
            <w:shd w:val="clear" w:color="auto" w:fill="auto"/>
            <w:noWrap/>
            <w:tcMar>
              <w:top w:w="14" w:type="dxa"/>
              <w:left w:w="14" w:type="dxa"/>
              <w:bottom w:w="0" w:type="dxa"/>
              <w:right w:w="14" w:type="dxa"/>
            </w:tcMar>
            <w:vAlign w:val="bottom"/>
            <w:hideMark/>
          </w:tcPr>
          <w:p w:rsidR="00132BAC" w:rsidRPr="0017216D" w:rsidRDefault="00132BAC" w:rsidP="00132BAC">
            <w:pPr>
              <w:tabs>
                <w:tab w:val="left" w:pos="2805"/>
              </w:tabs>
              <w:ind w:firstLineChars="100" w:firstLine="140"/>
              <w:jc w:val="right"/>
              <w:rPr>
                <w:rFonts w:ascii="Arial" w:hAnsi="Arial" w:cs="Arial"/>
                <w:sz w:val="14"/>
                <w:szCs w:val="14"/>
              </w:rPr>
            </w:pPr>
            <w:r w:rsidRPr="0017216D">
              <w:rPr>
                <w:rFonts w:ascii="Arial" w:hAnsi="Arial" w:cs="Arial"/>
                <w:sz w:val="14"/>
                <w:szCs w:val="14"/>
              </w:rPr>
              <w:t> </w:t>
            </w:r>
          </w:p>
        </w:tc>
      </w:tr>
      <w:tr w:rsidR="00132BAC" w:rsidRPr="0017216D" w:rsidTr="00132BAC">
        <w:trPr>
          <w:trHeight w:val="66"/>
        </w:trPr>
        <w:tc>
          <w:tcPr>
            <w:tcW w:w="5000" w:type="pct"/>
            <w:gridSpan w:val="18"/>
            <w:tcBorders>
              <w:top w:val="nil"/>
              <w:left w:val="single" w:sz="4" w:space="0" w:color="0070C0"/>
              <w:bottom w:val="nil"/>
              <w:right w:val="single" w:sz="4" w:space="0" w:color="0070C0"/>
            </w:tcBorders>
            <w:shd w:val="clear" w:color="auto" w:fill="auto"/>
            <w:tcMar>
              <w:top w:w="14" w:type="dxa"/>
              <w:left w:w="14" w:type="dxa"/>
              <w:bottom w:w="0" w:type="dxa"/>
              <w:right w:w="14" w:type="dxa"/>
            </w:tcMar>
            <w:hideMark/>
          </w:tcPr>
          <w:p w:rsidR="00132BAC" w:rsidRPr="0017216D" w:rsidRDefault="00132BAC" w:rsidP="00132BAC">
            <w:pPr>
              <w:tabs>
                <w:tab w:val="left" w:pos="2805"/>
              </w:tabs>
              <w:rPr>
                <w:rFonts w:ascii="Arial" w:hAnsi="Arial" w:cs="Arial"/>
                <w:sz w:val="14"/>
                <w:szCs w:val="14"/>
                <w:vertAlign w:val="superscript"/>
              </w:rPr>
            </w:pPr>
          </w:p>
        </w:tc>
      </w:tr>
      <w:tr w:rsidR="00132BAC" w:rsidRPr="0017216D" w:rsidTr="00132BAC">
        <w:trPr>
          <w:trHeight w:val="20"/>
        </w:trPr>
        <w:tc>
          <w:tcPr>
            <w:tcW w:w="5000" w:type="pct"/>
            <w:gridSpan w:val="18"/>
            <w:tcBorders>
              <w:top w:val="nil"/>
              <w:left w:val="single" w:sz="4" w:space="0" w:color="0070C0"/>
              <w:bottom w:val="nil"/>
              <w:right w:val="single" w:sz="4" w:space="0" w:color="0070C0"/>
            </w:tcBorders>
            <w:shd w:val="clear" w:color="auto" w:fill="auto"/>
            <w:tcMar>
              <w:top w:w="14" w:type="dxa"/>
              <w:left w:w="14" w:type="dxa"/>
              <w:bottom w:w="0" w:type="dxa"/>
              <w:right w:w="14" w:type="dxa"/>
            </w:tcMar>
            <w:hideMark/>
          </w:tcPr>
          <w:p w:rsidR="00132BAC" w:rsidRPr="0017216D" w:rsidRDefault="00132BAC" w:rsidP="00132BAC">
            <w:pPr>
              <w:tabs>
                <w:tab w:val="left" w:pos="2805"/>
              </w:tabs>
              <w:rPr>
                <w:rFonts w:ascii="Arial" w:hAnsi="Arial" w:cs="Arial"/>
                <w:sz w:val="14"/>
                <w:szCs w:val="14"/>
              </w:rPr>
            </w:pPr>
            <w:r w:rsidRPr="0017216D">
              <w:rPr>
                <w:rFonts w:ascii="Arial" w:hAnsi="Arial" w:cs="Arial"/>
                <w:sz w:val="14"/>
                <w:szCs w:val="14"/>
                <w:vertAlign w:val="superscript"/>
              </w:rPr>
              <w:t xml:space="preserve">1 </w:t>
            </w:r>
            <w:r w:rsidRPr="0017216D">
              <w:rPr>
                <w:rFonts w:ascii="Arial" w:hAnsi="Arial" w:cs="Arial"/>
                <w:sz w:val="14"/>
                <w:szCs w:val="14"/>
              </w:rPr>
              <w:t xml:space="preserve">Students enrolled at any time during the year with a tertiary education provider in formal qualifications of greater than 0.03 EFTS (more than one week's duration).   </w:t>
            </w:r>
          </w:p>
        </w:tc>
      </w:tr>
      <w:tr w:rsidR="00132BAC" w:rsidTr="00132BAC">
        <w:trPr>
          <w:trHeight w:val="20"/>
        </w:trPr>
        <w:tc>
          <w:tcPr>
            <w:tcW w:w="5000" w:type="pct"/>
            <w:gridSpan w:val="18"/>
            <w:tcBorders>
              <w:top w:val="nil"/>
              <w:left w:val="single" w:sz="4" w:space="0" w:color="0070C0"/>
              <w:bottom w:val="nil"/>
              <w:right w:val="single" w:sz="4" w:space="0" w:color="0070C0"/>
            </w:tcBorders>
            <w:shd w:val="clear" w:color="auto" w:fill="auto"/>
            <w:tcMar>
              <w:top w:w="14" w:type="dxa"/>
              <w:left w:w="14" w:type="dxa"/>
              <w:bottom w:w="0" w:type="dxa"/>
              <w:right w:w="14" w:type="dxa"/>
            </w:tcMar>
            <w:hideMark/>
          </w:tcPr>
          <w:p w:rsidR="00132BAC" w:rsidRDefault="00132BAC" w:rsidP="00132BAC">
            <w:pPr>
              <w:tabs>
                <w:tab w:val="left" w:pos="2805"/>
              </w:tabs>
              <w:rPr>
                <w:rFonts w:ascii="Arial" w:hAnsi="Arial" w:cs="Arial"/>
                <w:sz w:val="14"/>
                <w:szCs w:val="14"/>
              </w:rPr>
            </w:pPr>
            <w:proofErr w:type="gramStart"/>
            <w:r>
              <w:rPr>
                <w:rFonts w:ascii="Arial" w:hAnsi="Arial" w:cs="Arial"/>
                <w:sz w:val="14"/>
                <w:szCs w:val="14"/>
                <w:vertAlign w:val="superscript"/>
              </w:rPr>
              <w:t xml:space="preserve">2  </w:t>
            </w:r>
            <w:r>
              <w:rPr>
                <w:rFonts w:ascii="Arial" w:hAnsi="Arial" w:cs="Arial"/>
                <w:sz w:val="14"/>
                <w:szCs w:val="14"/>
              </w:rPr>
              <w:t>Students</w:t>
            </w:r>
            <w:proofErr w:type="gramEnd"/>
            <w:r>
              <w:rPr>
                <w:rFonts w:ascii="Arial" w:hAnsi="Arial" w:cs="Arial"/>
                <w:sz w:val="14"/>
                <w:szCs w:val="14"/>
              </w:rPr>
              <w:t xml:space="preserve"> enrolled at any time during the year with a tertiary education provider in formal qualifications of 0.03 EFTS or less (one week's duration or less).  This category includes students in the Secondary-Tertiary Alignment Resource (STAR) programme.</w:t>
            </w:r>
          </w:p>
        </w:tc>
      </w:tr>
      <w:tr w:rsidR="00132BAC" w:rsidTr="00132BAC">
        <w:trPr>
          <w:trHeight w:val="20"/>
        </w:trPr>
        <w:tc>
          <w:tcPr>
            <w:tcW w:w="5000" w:type="pct"/>
            <w:gridSpan w:val="18"/>
            <w:tcBorders>
              <w:top w:val="nil"/>
              <w:left w:val="single" w:sz="4" w:space="0" w:color="0070C0"/>
              <w:bottom w:val="nil"/>
              <w:right w:val="single" w:sz="4" w:space="0" w:color="0070C0"/>
            </w:tcBorders>
            <w:shd w:val="clear" w:color="auto" w:fill="auto"/>
            <w:tcMar>
              <w:top w:w="14" w:type="dxa"/>
              <w:left w:w="14" w:type="dxa"/>
              <w:bottom w:w="0" w:type="dxa"/>
              <w:right w:w="14" w:type="dxa"/>
            </w:tcMar>
            <w:hideMark/>
          </w:tcPr>
          <w:p w:rsidR="00132BAC" w:rsidRDefault="00132BAC" w:rsidP="003677D7">
            <w:pPr>
              <w:tabs>
                <w:tab w:val="left" w:pos="2805"/>
              </w:tabs>
              <w:rPr>
                <w:rFonts w:ascii="Arial" w:hAnsi="Arial" w:cs="Arial"/>
                <w:sz w:val="14"/>
                <w:szCs w:val="14"/>
              </w:rPr>
            </w:pPr>
            <w:r>
              <w:rPr>
                <w:rFonts w:ascii="Arial" w:hAnsi="Arial" w:cs="Arial"/>
                <w:sz w:val="14"/>
                <w:szCs w:val="14"/>
                <w:vertAlign w:val="superscript"/>
              </w:rPr>
              <w:t xml:space="preserve">3 </w:t>
            </w:r>
            <w:r>
              <w:rPr>
                <w:rFonts w:ascii="Arial" w:hAnsi="Arial" w:cs="Arial"/>
                <w:sz w:val="14"/>
                <w:szCs w:val="14"/>
              </w:rPr>
              <w:t>Students enrolled at any time during the year with a tertiary education provider in informal programmes, i.e. programmes not registered on the New Zealand Qualifications</w:t>
            </w:r>
            <w:r w:rsidR="003677D7">
              <w:rPr>
                <w:rFonts w:ascii="Arial" w:hAnsi="Arial" w:cs="Arial"/>
                <w:sz w:val="14"/>
                <w:szCs w:val="14"/>
              </w:rPr>
              <w:t xml:space="preserve"> Framework</w:t>
            </w:r>
            <w:r>
              <w:rPr>
                <w:rFonts w:ascii="Arial" w:hAnsi="Arial" w:cs="Arial"/>
                <w:sz w:val="14"/>
                <w:szCs w:val="14"/>
              </w:rPr>
              <w:t>.</w:t>
            </w:r>
          </w:p>
        </w:tc>
      </w:tr>
      <w:tr w:rsidR="00132BAC" w:rsidTr="00132BAC">
        <w:trPr>
          <w:trHeight w:val="20"/>
        </w:trPr>
        <w:tc>
          <w:tcPr>
            <w:tcW w:w="5000" w:type="pct"/>
            <w:gridSpan w:val="18"/>
            <w:tcBorders>
              <w:top w:val="nil"/>
              <w:left w:val="single" w:sz="4" w:space="0" w:color="0070C0"/>
              <w:bottom w:val="single" w:sz="4" w:space="0" w:color="0070C0"/>
              <w:right w:val="single" w:sz="4" w:space="0" w:color="0070C0"/>
            </w:tcBorders>
            <w:shd w:val="clear" w:color="auto" w:fill="auto"/>
            <w:tcMar>
              <w:top w:w="14" w:type="dxa"/>
              <w:left w:w="14" w:type="dxa"/>
              <w:bottom w:w="0" w:type="dxa"/>
              <w:right w:w="14" w:type="dxa"/>
            </w:tcMar>
            <w:hideMark/>
          </w:tcPr>
          <w:p w:rsidR="00132BAC" w:rsidRDefault="00132BAC" w:rsidP="00132BAC">
            <w:pPr>
              <w:tabs>
                <w:tab w:val="left" w:pos="2805"/>
              </w:tabs>
              <w:rPr>
                <w:rFonts w:ascii="Arial" w:hAnsi="Arial" w:cs="Arial"/>
                <w:sz w:val="14"/>
                <w:szCs w:val="14"/>
              </w:rPr>
            </w:pPr>
            <w:r>
              <w:rPr>
                <w:rFonts w:ascii="Arial" w:hAnsi="Arial" w:cs="Arial"/>
                <w:sz w:val="14"/>
                <w:szCs w:val="14"/>
              </w:rPr>
              <w:t>Notes: (1</w:t>
            </w:r>
            <w:proofErr w:type="gramStart"/>
            <w:r>
              <w:rPr>
                <w:rFonts w:ascii="Arial" w:hAnsi="Arial" w:cs="Arial"/>
                <w:sz w:val="14"/>
                <w:szCs w:val="14"/>
              </w:rPr>
              <w:t>)  Since</w:t>
            </w:r>
            <w:proofErr w:type="gramEnd"/>
            <w:r>
              <w:rPr>
                <w:rFonts w:ascii="Arial" w:hAnsi="Arial" w:cs="Arial"/>
                <w:sz w:val="14"/>
                <w:szCs w:val="14"/>
              </w:rPr>
              <w:t xml:space="preserve"> 2005, international doctoral students are funded at the same rate as domestic students.  The data is not adjusted to allow for students who do not complete their study programme.</w:t>
            </w:r>
          </w:p>
          <w:p w:rsidR="00132BAC" w:rsidRDefault="00132BAC" w:rsidP="00132BAC">
            <w:pPr>
              <w:tabs>
                <w:tab w:val="left" w:pos="2805"/>
              </w:tabs>
              <w:rPr>
                <w:rFonts w:ascii="Arial" w:hAnsi="Arial" w:cs="Arial"/>
                <w:sz w:val="14"/>
                <w:szCs w:val="14"/>
              </w:rPr>
            </w:pPr>
            <w:r>
              <w:rPr>
                <w:rFonts w:ascii="Arial" w:hAnsi="Arial" w:cs="Arial"/>
                <w:sz w:val="14"/>
                <w:szCs w:val="14"/>
              </w:rPr>
              <w:t>(2)  The colleges of education have merged with nearby universities over the last decade.</w:t>
            </w:r>
          </w:p>
        </w:tc>
      </w:tr>
    </w:tbl>
    <w:p w:rsidR="003607CD" w:rsidRDefault="003607CD" w:rsidP="00D94DEA">
      <w:pPr>
        <w:rPr>
          <w:rFonts w:ascii="Arial" w:hAnsi="Arial" w:cs="Arial"/>
          <w:b/>
          <w:bCs/>
          <w:sz w:val="18"/>
          <w:szCs w:val="18"/>
        </w:rPr>
        <w:sectPr w:rsidR="003607CD" w:rsidSect="00D718E4">
          <w:headerReference w:type="even" r:id="rId33"/>
          <w:headerReference w:type="default" r:id="rId34"/>
          <w:footerReference w:type="even" r:id="rId35"/>
          <w:footerReference w:type="default" r:id="rId36"/>
          <w:headerReference w:type="first" r:id="rId37"/>
          <w:pgSz w:w="11906" w:h="16838" w:code="9"/>
          <w:pgMar w:top="1134" w:right="567" w:bottom="1134" w:left="567" w:header="709" w:footer="709" w:gutter="0"/>
          <w:pgNumType w:start="1"/>
          <w:cols w:space="708"/>
          <w:docGrid w:linePitch="360"/>
        </w:sectPr>
      </w:pPr>
      <w:bookmarkStart w:id="62" w:name="RANGE!A1:Q56"/>
      <w:bookmarkEnd w:id="62"/>
    </w:p>
    <w:p w:rsidR="00ED68DB" w:rsidRPr="000045D2" w:rsidRDefault="00ED68DB" w:rsidP="00913A91">
      <w:pPr>
        <w:pStyle w:val="Appendix"/>
        <w:numPr>
          <w:ilvl w:val="0"/>
          <w:numId w:val="0"/>
        </w:numPr>
        <w:sectPr w:rsidR="00ED68DB" w:rsidRPr="000045D2" w:rsidSect="003607CD">
          <w:type w:val="continuous"/>
          <w:pgSz w:w="11906" w:h="16838" w:code="9"/>
          <w:pgMar w:top="851" w:right="567" w:bottom="1134" w:left="567" w:header="709" w:footer="709" w:gutter="0"/>
          <w:pgNumType w:start="1"/>
          <w:cols w:space="708"/>
          <w:docGrid w:linePitch="360"/>
        </w:sectPr>
      </w:pPr>
    </w:p>
    <w:p w:rsidR="00767E52" w:rsidRDefault="00767E52" w:rsidP="00F0613C">
      <w:pPr>
        <w:pStyle w:val="BodyText"/>
      </w:pPr>
    </w:p>
    <w:sectPr w:rsidR="00767E52" w:rsidSect="00832F8A">
      <w:headerReference w:type="even" r:id="rId38"/>
      <w:headerReference w:type="default" r:id="rId39"/>
      <w:footerReference w:type="even" r:id="rId40"/>
      <w:footerReference w:type="default" r:id="rId41"/>
      <w:pgSz w:w="11906" w:h="16838" w:code="9"/>
      <w:pgMar w:top="1418" w:right="1701" w:bottom="1418" w:left="1701"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Data r:id="rId1"/>
  </wne:toolbars>
  <wne:acds>
    <wne:acd wne:argValue="SwBlAHkAUABvAGkAbgB0AFQAYQBiAGwAZQA=" wne:acdName="acd0" wne:fciIndexBasedOn="0211"/>
    <wne:acd wne:argValue="AQAAAEIA" wne:acdName="acd1" wne:fciIndexBasedOn="0065"/>
    <wne:acd wne:argValue="AgBCAHUAbABsAGUAdAAgADEA" wne:acdName="acd2" wne:fciIndexBasedOn="0065"/>
    <wne:acd wne:argValue="AgBCAHUAbABsAGUAdAAgADIAIABuAG8AIABzAHAAYQBjAGUA" wne:acdName="acd3" wne:fciIndexBasedOn="0065"/>
    <wne:acd wne:argValue="AgBBAHAAcABlAG4AZABpAHgA" wne:acdName="acd4" wne:fciIndexBasedOn="0065"/>
    <wne:acd wne:argValue="AgBGAGkAZwB1AHIAZQAgAGwAYQBiAGUAbAA=" wne:acdName="acd5" wne:fciIndexBasedOn="0065"/>
    <wne:acd wne:argValue="AgBIAGUAYQBkAGkAbgBnAA==" wne:acdName="acd6" wne:fciIndexBasedOn="0065"/>
    <wne:acd wne:argValue="AQAAAAEA" wne:acdName="acd7" wne:fciIndexBasedOn="0065"/>
    <wne:acd wne:argValue="AQAAAAIA" wne:acdName="acd8" wne:fciIndexBasedOn="0065"/>
    <wne:acd wne:argValue="AQAAAAMA" wne:acdName="acd9" wne:fciIndexBasedOn="0065"/>
    <wne:acd wne:argValue="AQAAAAQA" wne:acdName="acd10" wne:fciIndexBasedOn="0065"/>
    <wne:acd wne:argValue="AgBSAGUAZgBlAHIAZQBuAGMAZQAgAHQAZQB4AHQA" wne:acdName="acd11" wne:fciIndexBasedOn="0065"/>
    <wne:acd wne:argValue="AgBIAGUAYQBkAGkAbgBnACAAMgBhAA==" wne:acdName="acd12" wne:fciIndexBasedOn="0065"/>
    <wne:acd wne:argValue="AgBIAGUAYQBkAGkAbgBnACAAMQBBAA==" wne:acdName="acd13" wne:fciIndexBasedOn="0065"/>
    <wne:acd wne:argValue="AgBOAG8AdABlAA==" wne:acdName="acd14" wne:fciIndexBasedOn="0065"/>
    <wne:acd wne:argValue="AgBIAGUAYQBkAGkAbgBnACAAMQBCACAAKABuAG8AdAAgAGkAbgAgAFQATwBDACkA" wne:acdName="acd15" wne:fciIndexBasedOn="0065"/>
    <wne:acd wne:argValue="AgBUAGEAYgBsAGUAIAB0AGUAeAB0AA==" wne:acdName="acd16" wne:fciIndexBasedOn="0065"/>
    <wne:acd wne:argValue="AgBUAGEAYgBsAGUAIABsAGEAYgBlAGwA" wne:acdName="acd17" wne:fciIndexBasedOn="0065"/>
    <wne:acd wne:argValue="AgBUAGEAYgBsAGUAIABoAGUAYQBkAGkAbgBnAA==" wne:acdName="acd18"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2A9" w:rsidRDefault="000432A9" w:rsidP="00326930">
      <w:r>
        <w:separator/>
      </w:r>
    </w:p>
  </w:endnote>
  <w:endnote w:type="continuationSeparator" w:id="0">
    <w:p w:rsidR="000432A9" w:rsidRDefault="000432A9" w:rsidP="003269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Default="000432A9" w:rsidP="00446520">
    <w:pPr>
      <w:pStyle w:val="FooterEvenPage"/>
    </w:pPr>
  </w:p>
  <w:p w:rsidR="000432A9" w:rsidRPr="00446520" w:rsidRDefault="000432A9" w:rsidP="004465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Default="005B67D2" w:rsidP="00BC68F5">
    <w:pPr>
      <w:pStyle w:val="Footer"/>
      <w:tabs>
        <w:tab w:val="clear" w:pos="4153"/>
        <w:tab w:val="clear" w:pos="8306"/>
        <w:tab w:val="right" w:pos="4678"/>
      </w:tabs>
      <w:spacing w:line="200" w:lineRule="atLeast"/>
    </w:pPr>
    <w:r w:rsidRPr="003D2CF8">
      <w:rPr>
        <w:rFonts w:ascii="Arial" w:hAnsi="Arial"/>
        <w:sz w:val="16"/>
        <w:szCs w:val="18"/>
      </w:rPr>
      <w:fldChar w:fldCharType="begin"/>
    </w:r>
    <w:r w:rsidR="000432A9" w:rsidRPr="003D2CF8">
      <w:rPr>
        <w:rFonts w:ascii="Arial" w:hAnsi="Arial"/>
        <w:sz w:val="16"/>
        <w:szCs w:val="18"/>
      </w:rPr>
      <w:instrText xml:space="preserve"> PAGE   \* MERGEFORMAT </w:instrText>
    </w:r>
    <w:r w:rsidRPr="003D2CF8">
      <w:rPr>
        <w:rFonts w:ascii="Arial" w:hAnsi="Arial"/>
        <w:sz w:val="16"/>
        <w:szCs w:val="18"/>
      </w:rPr>
      <w:fldChar w:fldCharType="separate"/>
    </w:r>
    <w:r w:rsidR="003E7627">
      <w:rPr>
        <w:rFonts w:ascii="Arial" w:hAnsi="Arial"/>
        <w:noProof/>
        <w:sz w:val="16"/>
        <w:szCs w:val="18"/>
      </w:rPr>
      <w:t>24</w:t>
    </w:r>
    <w:r w:rsidRPr="003D2CF8">
      <w:rPr>
        <w:rFonts w:ascii="Arial" w:hAnsi="Arial"/>
        <w:sz w:val="16"/>
        <w:szCs w:val="18"/>
      </w:rPr>
      <w:fldChar w:fldCharType="end"/>
    </w:r>
    <w:r w:rsidR="000432A9">
      <w:tab/>
    </w:r>
    <w:fldSimple w:instr=" REF ReportTitle  \* MERGEFORMAT ">
      <w:r w:rsidR="00375A85" w:rsidRPr="00375A85">
        <w:rPr>
          <w:rFonts w:ascii="Arial" w:hAnsi="Arial"/>
          <w:sz w:val="16"/>
          <w:szCs w:val="18"/>
        </w:rPr>
        <w:t>Tertiary education enrolments 2013</w:t>
      </w:r>
    </w:fldSimple>
    <w:r w:rsidR="000432A9" w:rsidRPr="00ED5C86">
      <w:rPr>
        <w:rFonts w:ascii="Arial" w:hAnsi="Arial"/>
        <w:sz w:val="16"/>
        <w:szCs w:val="18"/>
      </w:rPr>
      <w:t xml:space="preserve">     </w:t>
    </w:r>
    <w:r w:rsidR="000432A9" w:rsidRPr="00ED5C86">
      <w:rPr>
        <w:rFonts w:ascii="Arial" w:hAnsi="Arial"/>
        <w:b/>
        <w:sz w:val="16"/>
        <w:szCs w:val="18"/>
      </w:rPr>
      <w:t>Ministry of Education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Pr="00457F11" w:rsidRDefault="005B67D2" w:rsidP="00BC68F5">
    <w:pPr>
      <w:pStyle w:val="FooterOddPage"/>
      <w:spacing w:before="240" w:line="200" w:lineRule="exact"/>
      <w:ind w:right="0"/>
    </w:pPr>
    <w:fldSimple w:instr=" REF ReportTitle  \* MERGEFORMAT ">
      <w:r w:rsidR="00375A85">
        <w:t>Tertiary education enrolments 2013</w:t>
      </w:r>
    </w:fldSimple>
    <w:r w:rsidR="000432A9" w:rsidRPr="00457F11">
      <w:t xml:space="preserve">     </w:t>
    </w:r>
    <w:r w:rsidR="000432A9" w:rsidRPr="00061883">
      <w:rPr>
        <w:b/>
      </w:rPr>
      <w:t>Ministry of Education</w:t>
    </w:r>
    <w:r w:rsidR="000432A9" w:rsidRPr="00457F11">
      <w:tab/>
    </w:r>
    <w:fldSimple w:instr=" PAGE   \* MERGEFORMAT ">
      <w:r w:rsidR="003E7627">
        <w:rPr>
          <w:noProof/>
        </w:rPr>
        <w:t>23</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Default="000432A9" w:rsidP="00EE5D8C">
    <w:pPr>
      <w:pStyle w:val="FooterEvenPage"/>
      <w:ind w:left="0"/>
      <w:jc w:val="left"/>
      <w:rPr>
        <w:b/>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Pr="00446520" w:rsidRDefault="000432A9" w:rsidP="0006188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Pr="00897DD0" w:rsidRDefault="000432A9" w:rsidP="00942A6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Pr="0010602C" w:rsidRDefault="000432A9" w:rsidP="00C646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2A9" w:rsidRPr="00CC3EDB" w:rsidRDefault="000432A9" w:rsidP="00326930">
      <w:pPr>
        <w:rPr>
          <w:color w:val="347FB9"/>
        </w:rPr>
      </w:pPr>
      <w:r w:rsidRPr="00CC3EDB">
        <w:rPr>
          <w:color w:val="347FB9"/>
        </w:rPr>
        <w:separator/>
      </w:r>
    </w:p>
  </w:footnote>
  <w:footnote w:type="continuationSeparator" w:id="0">
    <w:p w:rsidR="000432A9" w:rsidRPr="0069109A" w:rsidRDefault="000432A9" w:rsidP="00326930">
      <w:pPr>
        <w:rPr>
          <w:color w:val="347FB9"/>
        </w:rPr>
      </w:pPr>
      <w:r w:rsidRPr="0069109A">
        <w:rPr>
          <w:color w:val="347FB9"/>
        </w:rPr>
        <w:continuationSeparator/>
      </w:r>
    </w:p>
  </w:footnote>
  <w:footnote w:id="1">
    <w:p w:rsidR="000432A9" w:rsidRDefault="000432A9" w:rsidP="00CB0813">
      <w:pPr>
        <w:pStyle w:val="Note"/>
        <w:spacing w:before="0" w:after="0" w:line="240" w:lineRule="auto"/>
        <w:jc w:val="both"/>
      </w:pPr>
      <w:r w:rsidRPr="00E72CE1">
        <w:rPr>
          <w:rStyle w:val="FootnoteReference"/>
          <w:rFonts w:ascii="Arial Narrow" w:hAnsi="Arial Narrow"/>
          <w:sz w:val="16"/>
          <w:szCs w:val="16"/>
        </w:rPr>
        <w:footnoteRef/>
      </w:r>
      <w:r w:rsidRPr="00E72CE1">
        <w:t xml:space="preserve"> Students enrolled at any time during the year with a tertiary education provider in formal </w:t>
      </w:r>
      <w:r>
        <w:t>learning (that is. contributing towards a recognised qualification)</w:t>
      </w:r>
      <w:r w:rsidRPr="00E72CE1">
        <w:t xml:space="preserve"> of </w:t>
      </w:r>
      <w:r>
        <w:t xml:space="preserve">more </w:t>
      </w:r>
      <w:r w:rsidRPr="00E72CE1">
        <w:t>than one week’s dura</w:t>
      </w:r>
      <w:r>
        <w:t>tion. Workplace-based learning is not included in this report, unless otherwise stated.</w:t>
      </w:r>
    </w:p>
  </w:footnote>
  <w:footnote w:id="2">
    <w:p w:rsidR="000432A9" w:rsidRPr="00027079" w:rsidRDefault="000432A9">
      <w:pPr>
        <w:pStyle w:val="FootnoteText"/>
        <w:rPr>
          <w:rFonts w:ascii="Arial" w:hAnsi="Arial" w:cs="Arial"/>
        </w:rPr>
      </w:pPr>
      <w:r>
        <w:rPr>
          <w:rStyle w:val="FootnoteReference"/>
        </w:rPr>
        <w:footnoteRef/>
      </w:r>
      <w:r>
        <w:t xml:space="preserve"> </w:t>
      </w:r>
      <w:r w:rsidRPr="00027079">
        <w:rPr>
          <w:rFonts w:ascii="Arial" w:hAnsi="Arial" w:cs="Arial"/>
        </w:rPr>
        <w:t>When Youth Training was discontinued in 2012, private training establishments could apply to deliver Youth Guarantee fees-free places and this led to more of them supplying information to the Ministry of Education on their total enrolments in 2013</w:t>
      </w:r>
      <w:r>
        <w:rPr>
          <w:rFonts w:ascii="Arial" w:hAnsi="Arial" w:cs="Arial"/>
        </w:rPr>
        <w:t>.</w:t>
      </w:r>
    </w:p>
  </w:footnote>
  <w:footnote w:id="3">
    <w:p w:rsidR="000432A9" w:rsidRDefault="000432A9" w:rsidP="00091B7D">
      <w:pPr>
        <w:pStyle w:val="FootnoteText"/>
      </w:pPr>
      <w:r>
        <w:rPr>
          <w:rStyle w:val="FootnoteReference"/>
        </w:rPr>
        <w:footnoteRef/>
      </w:r>
      <w:r>
        <w:t xml:space="preserve"> </w:t>
      </w:r>
      <w:r>
        <w:rPr>
          <w:rFonts w:ascii="Arial" w:hAnsi="Arial"/>
          <w:szCs w:val="24"/>
        </w:rPr>
        <w:t>Data in this report and the statistical tables has</w:t>
      </w:r>
      <w:r w:rsidRPr="00C50786">
        <w:rPr>
          <w:rFonts w:ascii="Arial" w:hAnsi="Arial"/>
          <w:szCs w:val="24"/>
        </w:rPr>
        <w:t xml:space="preserve"> </w:t>
      </w:r>
      <w:r>
        <w:rPr>
          <w:rFonts w:ascii="Arial" w:hAnsi="Arial"/>
          <w:szCs w:val="24"/>
        </w:rPr>
        <w:t xml:space="preserve">been revised as tertiary education organisations are able to submit updates for previous years back to 2003 as part of the information </w:t>
      </w:r>
      <w:r w:rsidRPr="00C50786">
        <w:rPr>
          <w:rFonts w:ascii="Arial" w:hAnsi="Arial"/>
          <w:szCs w:val="24"/>
        </w:rPr>
        <w:t>collections</w:t>
      </w:r>
      <w:r>
        <w:rPr>
          <w:rFonts w:ascii="Arial" w:hAnsi="Arial"/>
          <w:szCs w:val="24"/>
        </w:rPr>
        <w:t xml:space="preserve"> provided to the Ministry of Education.</w:t>
      </w:r>
    </w:p>
  </w:footnote>
  <w:footnote w:id="4">
    <w:p w:rsidR="000432A9" w:rsidRPr="001C60E7" w:rsidRDefault="000432A9" w:rsidP="00DC6252">
      <w:pPr>
        <w:pStyle w:val="FootnoteText"/>
        <w:rPr>
          <w:rFonts w:ascii="Arial" w:hAnsi="Arial" w:cs="Arial"/>
          <w:iCs/>
          <w:szCs w:val="14"/>
          <w:lang w:eastAsia="en-NZ"/>
        </w:rPr>
      </w:pPr>
      <w:r>
        <w:rPr>
          <w:rStyle w:val="FootnoteReference"/>
        </w:rPr>
        <w:footnoteRef/>
      </w:r>
      <w:r>
        <w:t xml:space="preserve"> </w:t>
      </w:r>
      <w:r w:rsidRPr="001C60E7">
        <w:rPr>
          <w:rFonts w:ascii="Arial" w:hAnsi="Arial" w:cs="Arial"/>
          <w:iCs/>
          <w:szCs w:val="14"/>
          <w:lang w:eastAsia="en-NZ"/>
        </w:rPr>
        <w:t>This category includes bachelors with honours degrees, postgraduate certificates and postgraduate diplomas.</w:t>
      </w:r>
    </w:p>
  </w:footnote>
  <w:footnote w:id="5">
    <w:p w:rsidR="000432A9" w:rsidRDefault="000432A9" w:rsidP="00E5067A">
      <w:pPr>
        <w:pStyle w:val="FootnoteText"/>
      </w:pPr>
      <w:r>
        <w:rPr>
          <w:rStyle w:val="FootnoteReference"/>
        </w:rPr>
        <w:footnoteRef/>
      </w:r>
      <w:r>
        <w:t xml:space="preserve"> </w:t>
      </w:r>
      <w:r w:rsidRPr="005E3795">
        <w:rPr>
          <w:rFonts w:ascii="Arial" w:hAnsi="Arial" w:cs="Arial"/>
          <w:iCs/>
          <w:szCs w:val="14"/>
          <w:lang w:eastAsia="en-NZ"/>
        </w:rPr>
        <w:t>Historically, the effect of a change in unemployment on bachelors-degree enrolments appears after a lag of about a year. For more information on this finding refer to</w:t>
      </w:r>
      <w:r>
        <w:t xml:space="preserve"> </w:t>
      </w:r>
      <w:r w:rsidRPr="00E45C6A">
        <w:rPr>
          <w:rFonts w:ascii="Arial" w:hAnsi="Arial" w:cs="Arial"/>
          <w:szCs w:val="14"/>
        </w:rPr>
        <w:t xml:space="preserve">Smart, W. (2009), </w:t>
      </w:r>
      <w:r w:rsidRPr="00E45C6A">
        <w:rPr>
          <w:rFonts w:ascii="Arial" w:hAnsi="Arial" w:cs="Arial"/>
          <w:i/>
          <w:szCs w:val="14"/>
        </w:rPr>
        <w:t>Ebbs and flows -</w:t>
      </w:r>
      <w:r w:rsidRPr="00E45C6A">
        <w:rPr>
          <w:rFonts w:ascii="Arial" w:hAnsi="Arial" w:cs="Arial"/>
          <w:i/>
          <w:iCs/>
          <w:szCs w:val="14"/>
          <w:lang w:eastAsia="en-NZ"/>
        </w:rPr>
        <w:t>Participation in post-compulsory education over the economic cycle</w:t>
      </w:r>
      <w:r>
        <w:rPr>
          <w:rFonts w:ascii="Arial" w:hAnsi="Arial" w:cs="Arial"/>
          <w:i/>
          <w:iCs/>
          <w:szCs w:val="14"/>
          <w:lang w:eastAsia="en-NZ"/>
        </w:rPr>
        <w:t xml:space="preserve">, </w:t>
      </w:r>
      <w:r>
        <w:rPr>
          <w:rFonts w:ascii="Arial" w:hAnsi="Arial" w:cs="Arial"/>
          <w:iCs/>
          <w:szCs w:val="14"/>
          <w:lang w:eastAsia="en-NZ"/>
        </w:rPr>
        <w:t>Wellington: Ministry of Education.</w:t>
      </w:r>
    </w:p>
  </w:footnote>
  <w:footnote w:id="6">
    <w:p w:rsidR="000432A9" w:rsidRPr="005E3795" w:rsidRDefault="000432A9" w:rsidP="00BB40B3">
      <w:pPr>
        <w:pStyle w:val="FootnoteText"/>
        <w:rPr>
          <w:rFonts w:ascii="Arial" w:hAnsi="Arial" w:cs="Arial"/>
          <w:iCs/>
          <w:szCs w:val="14"/>
          <w:lang w:eastAsia="en-NZ"/>
        </w:rPr>
      </w:pPr>
      <w:r>
        <w:rPr>
          <w:rStyle w:val="FootnoteReference"/>
        </w:rPr>
        <w:footnoteRef/>
      </w:r>
      <w:r>
        <w:t xml:space="preserve"> </w:t>
      </w:r>
      <w:r w:rsidRPr="005E3795">
        <w:rPr>
          <w:rFonts w:ascii="Arial" w:hAnsi="Arial" w:cs="Arial"/>
          <w:iCs/>
          <w:szCs w:val="14"/>
          <w:lang w:eastAsia="en-NZ"/>
        </w:rPr>
        <w:t>Since 2005, when the government held reviews of non-degree qualifications aimed at increasing the relevance of skills and knowledge of New Zealanders to meet national goals, level 1 to 3 certificate enrolments by students aged 25 years and over have more than halved in number.</w:t>
      </w:r>
    </w:p>
  </w:footnote>
  <w:footnote w:id="7">
    <w:p w:rsidR="000432A9" w:rsidRPr="00A54E5C" w:rsidRDefault="000432A9" w:rsidP="00A54E5C">
      <w:pPr>
        <w:pStyle w:val="BodyText"/>
        <w:spacing w:after="0" w:line="160" w:lineRule="atLeast"/>
        <w:rPr>
          <w:rFonts w:ascii="Arial" w:hAnsi="Arial" w:cs="Arial"/>
          <w:sz w:val="14"/>
          <w:szCs w:val="14"/>
          <w:lang w:val="en-US"/>
        </w:rPr>
      </w:pPr>
      <w:r>
        <w:rPr>
          <w:rStyle w:val="FootnoteReference"/>
        </w:rPr>
        <w:footnoteRef/>
      </w:r>
      <w:r w:rsidRPr="00A54E5C">
        <w:rPr>
          <w:rFonts w:ascii="Arial" w:hAnsi="Arial" w:cs="Arial"/>
          <w:sz w:val="14"/>
          <w:szCs w:val="14"/>
          <w:lang w:val="en-US"/>
        </w:rPr>
        <w:t>The different age distributions of men and women can cause their patterns of participation in tertiary education to vary. To allow comparisons to be made between genders, the tertiary education participation rates can be age-adjusted to eliminate the differences between the age distributions of men and women.</w:t>
      </w:r>
    </w:p>
    <w:p w:rsidR="000432A9" w:rsidRPr="00A54E5C" w:rsidRDefault="000432A9" w:rsidP="003B7D3D">
      <w:pPr>
        <w:pStyle w:val="BodyText"/>
        <w:spacing w:before="60" w:after="0" w:line="160" w:lineRule="atLeast"/>
        <w:rPr>
          <w:rFonts w:ascii="Arial" w:hAnsi="Arial" w:cs="Arial"/>
          <w:sz w:val="14"/>
          <w:szCs w:val="14"/>
          <w:lang w:val="en-US"/>
        </w:rPr>
      </w:pPr>
      <w:r w:rsidRPr="00A54E5C">
        <w:rPr>
          <w:rFonts w:ascii="Arial" w:hAnsi="Arial" w:cs="Arial"/>
          <w:sz w:val="14"/>
          <w:szCs w:val="14"/>
          <w:lang w:val="en-US"/>
        </w:rPr>
        <w:t xml:space="preserve">The process of age adjustment used in this section </w:t>
      </w:r>
      <w:proofErr w:type="spellStart"/>
      <w:r w:rsidRPr="00A54E5C">
        <w:rPr>
          <w:rFonts w:ascii="Arial" w:hAnsi="Arial" w:cs="Arial"/>
          <w:sz w:val="14"/>
          <w:szCs w:val="14"/>
          <w:lang w:val="en-US"/>
        </w:rPr>
        <w:t>standardises</w:t>
      </w:r>
      <w:proofErr w:type="spellEnd"/>
      <w:r w:rsidRPr="00A54E5C">
        <w:rPr>
          <w:rFonts w:ascii="Arial" w:hAnsi="Arial" w:cs="Arial"/>
          <w:sz w:val="14"/>
          <w:szCs w:val="14"/>
          <w:lang w:val="en-US"/>
        </w:rPr>
        <w:t xml:space="preserve"> the proportions of the ages for each gender, aligning it to the proportion for each age in the whole population.</w:t>
      </w:r>
      <w:r w:rsidRPr="00A54E5C">
        <w:rPr>
          <w:rStyle w:val="FootnoteReference"/>
          <w:rFonts w:ascii="Arial" w:hAnsi="Arial" w:cs="Arial"/>
          <w:sz w:val="14"/>
          <w:szCs w:val="14"/>
        </w:rPr>
        <w:footnoteRef/>
      </w:r>
      <w:r w:rsidRPr="00A54E5C">
        <w:rPr>
          <w:rFonts w:ascii="Arial" w:hAnsi="Arial" w:cs="Arial"/>
          <w:sz w:val="14"/>
          <w:szCs w:val="14"/>
          <w:lang w:val="en-US"/>
        </w:rPr>
        <w:t xml:space="preserve"> This means that the overall rates for each gender are based on the same age structure, that is, the age structure of the total New Zealand population. This means that the higher percentage of young males in the population does not distort comparisons with women.</w:t>
      </w:r>
    </w:p>
  </w:footnote>
  <w:footnote w:id="8">
    <w:p w:rsidR="000432A9" w:rsidRPr="00750F58" w:rsidRDefault="000432A9">
      <w:pPr>
        <w:pStyle w:val="FootnoteText"/>
      </w:pPr>
      <w:r>
        <w:rPr>
          <w:rStyle w:val="FootnoteReference"/>
        </w:rPr>
        <w:footnoteRef/>
      </w:r>
      <w:r>
        <w:t xml:space="preserve"> The data in Table 4.2 updates the Tertiary education occasional paper 2013/03 based on the preliminary August 2013 enrolments collection:  Smart, W</w:t>
      </w:r>
      <w:proofErr w:type="gramStart"/>
      <w:r>
        <w:t>.(</w:t>
      </w:r>
      <w:proofErr w:type="gramEnd"/>
      <w:r>
        <w:t xml:space="preserve">2013), </w:t>
      </w:r>
      <w:r>
        <w:rPr>
          <w:i/>
        </w:rPr>
        <w:t xml:space="preserve">Domestic postgraduate enrolments in 2013 – early indications, </w:t>
      </w:r>
      <w:r>
        <w:t>Wellington: Ministry of Education.</w:t>
      </w:r>
    </w:p>
  </w:footnote>
  <w:footnote w:id="9">
    <w:p w:rsidR="000432A9" w:rsidRDefault="000432A9">
      <w:pPr>
        <w:pStyle w:val="FootnoteText"/>
      </w:pPr>
      <w:r>
        <w:rPr>
          <w:rStyle w:val="FootnoteReference"/>
        </w:rPr>
        <w:footnoteRef/>
      </w:r>
      <w:r>
        <w:t xml:space="preserve"> This category includes bachelors with honours degrees, postgraduate certificates and postgraduate diplomas.</w:t>
      </w:r>
    </w:p>
  </w:footnote>
  <w:footnote w:id="10">
    <w:p w:rsidR="000432A9" w:rsidRPr="00027079" w:rsidRDefault="000432A9" w:rsidP="006F0E7D">
      <w:pPr>
        <w:pStyle w:val="FootnoteText"/>
        <w:rPr>
          <w:rFonts w:ascii="Arial" w:hAnsi="Arial" w:cs="Arial"/>
        </w:rPr>
      </w:pPr>
      <w:r>
        <w:rPr>
          <w:rStyle w:val="FootnoteReference"/>
        </w:rPr>
        <w:footnoteRef/>
      </w:r>
      <w:r>
        <w:t xml:space="preserve"> </w:t>
      </w:r>
      <w:r w:rsidRPr="00027079">
        <w:rPr>
          <w:rFonts w:ascii="Arial" w:hAnsi="Arial" w:cs="Arial"/>
        </w:rPr>
        <w:t>When Youth Training was discontinued in 2012, private training establishments could apply to deliver Youth Guarantee fees-free places and this led to more of them supplying information to the Ministry of Education on their total enrolments in 2013</w:t>
      </w:r>
      <w:r>
        <w:rPr>
          <w:rFonts w:ascii="Arial" w:hAnsi="Arial" w:cs="Arial"/>
        </w:rPr>
        <w:t>.</w:t>
      </w:r>
    </w:p>
  </w:footnote>
  <w:footnote w:id="11">
    <w:p w:rsidR="000432A9" w:rsidRDefault="000432A9" w:rsidP="001C60E7">
      <w:pPr>
        <w:pStyle w:val="Note"/>
        <w:spacing w:after="0"/>
      </w:pPr>
      <w:r>
        <w:rPr>
          <w:rStyle w:val="FootnoteReference"/>
        </w:rPr>
        <w:footnoteRef/>
      </w:r>
      <w:r>
        <w:t xml:space="preserve"> More detailed gender statistics are available as a download with this report and on the Ministry of Education’s Education Counts website – see the tertiary statistics page.</w:t>
      </w:r>
    </w:p>
  </w:footnote>
  <w:footnote w:id="12">
    <w:p w:rsidR="000432A9" w:rsidRPr="001C60E7" w:rsidRDefault="000432A9">
      <w:pPr>
        <w:pStyle w:val="FootnoteText"/>
        <w:rPr>
          <w:rFonts w:ascii="Arial" w:hAnsi="Arial"/>
          <w:szCs w:val="24"/>
        </w:rPr>
      </w:pPr>
      <w:r>
        <w:rPr>
          <w:rStyle w:val="FootnoteReference"/>
        </w:rPr>
        <w:footnoteRef/>
      </w:r>
      <w:r>
        <w:t xml:space="preserve"> </w:t>
      </w:r>
      <w:r w:rsidRPr="001C60E7">
        <w:rPr>
          <w:rFonts w:ascii="Arial" w:hAnsi="Arial"/>
          <w:szCs w:val="24"/>
        </w:rPr>
        <w:t>This category includes bachelors with honours degrees, postgraduate certificates and postgraduate diplomas.</w:t>
      </w:r>
    </w:p>
  </w:footnote>
  <w:footnote w:id="13">
    <w:p w:rsidR="000432A9" w:rsidRPr="00AD20BD" w:rsidRDefault="000432A9" w:rsidP="00A55BA7">
      <w:pPr>
        <w:pStyle w:val="FootnoteText"/>
        <w:rPr>
          <w:lang w:val="mi-NZ"/>
        </w:rPr>
      </w:pPr>
      <w:r>
        <w:rPr>
          <w:rStyle w:val="FootnoteReference"/>
        </w:rPr>
        <w:footnoteRef/>
      </w:r>
      <w:r>
        <w:t xml:space="preserve"> </w:t>
      </w:r>
      <w:r>
        <w:rPr>
          <w:lang w:val="mi-NZ"/>
        </w:rPr>
        <w:t>To enable comparisons to be made between groups over time, the overall rates have also been age-standardised for previous years based on the age structure of the total New Zealand population in 2013.</w:t>
      </w:r>
    </w:p>
    <w:p w:rsidR="000432A9" w:rsidRPr="00A55BA7" w:rsidRDefault="000432A9">
      <w:pPr>
        <w:pStyle w:val="FootnoteText"/>
        <w:rPr>
          <w:lang w:val="mi-NZ"/>
        </w:rPr>
      </w:pPr>
    </w:p>
  </w:footnote>
  <w:footnote w:id="14">
    <w:p w:rsidR="000432A9" w:rsidRPr="000D2C56" w:rsidRDefault="000432A9" w:rsidP="00B25D58">
      <w:pPr>
        <w:pStyle w:val="Note"/>
        <w:rPr>
          <w:lang w:val="mi-NZ"/>
        </w:rPr>
      </w:pPr>
      <w:r>
        <w:rPr>
          <w:rStyle w:val="FootnoteReference"/>
        </w:rPr>
        <w:footnoteRef/>
      </w:r>
      <w:r>
        <w:t xml:space="preserve"> As the participation rates in tertiary education of people in the same age group are being compared here, the rates used are not age-adjusted.</w:t>
      </w:r>
    </w:p>
  </w:footnote>
  <w:footnote w:id="15">
    <w:p w:rsidR="000432A9" w:rsidRPr="009D7FC7" w:rsidRDefault="000432A9" w:rsidP="00DF1570">
      <w:pPr>
        <w:pStyle w:val="Note"/>
        <w:spacing w:after="0"/>
      </w:pPr>
      <w:r>
        <w:rPr>
          <w:rStyle w:val="FootnoteReference"/>
        </w:rPr>
        <w:footnoteRef/>
      </w:r>
      <w:r>
        <w:t xml:space="preserve"> As the participation rates in tertiary education of people in the same age group are being compared here, the rates used are not age-adjusted.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Default="000432A9">
    <w:pPr>
      <w:pStyle w:val="Header"/>
    </w:pPr>
    <w:r>
      <w:rPr>
        <w:noProof/>
        <w:lang w:eastAsia="en-NZ"/>
      </w:rPr>
      <w:drawing>
        <wp:anchor distT="0" distB="0" distL="114300" distR="114300" simplePos="0" relativeHeight="251656704" behindDoc="1" locked="1" layoutInCell="1" allowOverlap="1">
          <wp:simplePos x="0" y="0"/>
          <wp:positionH relativeFrom="page">
            <wp:posOffset>-9525</wp:posOffset>
          </wp:positionH>
          <wp:positionV relativeFrom="page">
            <wp:align>top</wp:align>
          </wp:positionV>
          <wp:extent cx="7577455" cy="10725150"/>
          <wp:effectExtent l="19050" t="0" r="4445" b="0"/>
          <wp:wrapNone/>
          <wp:docPr id="22" name="Picture 22" descr="08-learners-front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learners-front_200"/>
                  <pic:cNvPicPr>
                    <a:picLocks noChangeAspect="1" noChangeArrowheads="1"/>
                  </pic:cNvPicPr>
                </pic:nvPicPr>
                <pic:blipFill>
                  <a:blip r:embed="rId1"/>
                  <a:srcRect/>
                  <a:stretch>
                    <a:fillRect/>
                  </a:stretch>
                </pic:blipFill>
                <pic:spPr bwMode="auto">
                  <a:xfrm>
                    <a:off x="0" y="0"/>
                    <a:ext cx="7577455" cy="1072515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Default="000432A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Default="000432A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Default="000432A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Default="000432A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Default="000432A9">
    <w:pPr>
      <w:pStyle w:val="Header"/>
    </w:pPr>
    <w:r>
      <w:rPr>
        <w:noProof/>
        <w:lang w:eastAsia="en-NZ"/>
      </w:rPr>
      <w:drawing>
        <wp:anchor distT="0" distB="0" distL="114300" distR="114300" simplePos="0" relativeHeight="251658752" behindDoc="1" locked="1" layoutInCell="1" allowOverlap="1">
          <wp:simplePos x="0" y="0"/>
          <wp:positionH relativeFrom="page">
            <wp:align>center</wp:align>
          </wp:positionH>
          <wp:positionV relativeFrom="page">
            <wp:align>top</wp:align>
          </wp:positionV>
          <wp:extent cx="7576185" cy="10695305"/>
          <wp:effectExtent l="19050" t="0" r="5715" b="0"/>
          <wp:wrapNone/>
          <wp:docPr id="24" name="Picture 24" descr="08-learner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learner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A9" w:rsidRDefault="000432A9">
    <w:pPr>
      <w:pStyle w:val="Header"/>
    </w:pPr>
    <w:r>
      <w:rPr>
        <w:noProof/>
        <w:lang w:eastAsia="en-NZ"/>
      </w:rPr>
      <w:drawing>
        <wp:anchor distT="0" distB="0" distL="114300" distR="114300" simplePos="0" relativeHeight="251657728" behindDoc="1" locked="1" layoutInCell="1" allowOverlap="1">
          <wp:simplePos x="0" y="0"/>
          <wp:positionH relativeFrom="page">
            <wp:align>center</wp:align>
          </wp:positionH>
          <wp:positionV relativeFrom="page">
            <wp:align>top</wp:align>
          </wp:positionV>
          <wp:extent cx="7581900" cy="10692765"/>
          <wp:effectExtent l="19050" t="0" r="0" b="0"/>
          <wp:wrapNone/>
          <wp:docPr id="23" name="Picture 23" descr="08-learner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8-learners-back_200"/>
                  <pic:cNvPicPr>
                    <a:picLocks noChangeAspect="1" noChangeArrowheads="1"/>
                  </pic:cNvPicPr>
                </pic:nvPicPr>
                <pic:blipFill>
                  <a:blip r:embed="rId1"/>
                  <a:srcRect/>
                  <a:stretch>
                    <a:fillRect/>
                  </a:stretch>
                </pic:blipFill>
                <pic:spPr bwMode="auto">
                  <a:xfrm>
                    <a:off x="0" y="0"/>
                    <a:ext cx="7581900" cy="1069276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F662A"/>
    <w:multiLevelType w:val="hybridMultilevel"/>
    <w:tmpl w:val="132AA39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201B6F13"/>
    <w:multiLevelType w:val="hybridMultilevel"/>
    <w:tmpl w:val="252C8F5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3FFA209B"/>
    <w:multiLevelType w:val="multilevel"/>
    <w:tmpl w:val="655ABCD0"/>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3">
    <w:nsid w:val="51F6115E"/>
    <w:multiLevelType w:val="hybridMultilevel"/>
    <w:tmpl w:val="55A85FEE"/>
    <w:lvl w:ilvl="0" w:tplc="1409000F">
      <w:start w:val="1"/>
      <w:numFmt w:val="decimal"/>
      <w:lvlText w:val="%1."/>
      <w:lvlJc w:val="left"/>
      <w:pPr>
        <w:ind w:left="-351" w:hanging="360"/>
      </w:pPr>
      <w:rPr>
        <w:rFonts w:hint="default"/>
      </w:rPr>
    </w:lvl>
    <w:lvl w:ilvl="1" w:tplc="14090019">
      <w:start w:val="1"/>
      <w:numFmt w:val="lowerLetter"/>
      <w:lvlText w:val="%2."/>
      <w:lvlJc w:val="left"/>
      <w:pPr>
        <w:ind w:left="369" w:hanging="360"/>
      </w:pPr>
    </w:lvl>
    <w:lvl w:ilvl="2" w:tplc="1409001B" w:tentative="1">
      <w:start w:val="1"/>
      <w:numFmt w:val="lowerRoman"/>
      <w:lvlText w:val="%3."/>
      <w:lvlJc w:val="right"/>
      <w:pPr>
        <w:ind w:left="1089" w:hanging="180"/>
      </w:pPr>
    </w:lvl>
    <w:lvl w:ilvl="3" w:tplc="1409000F" w:tentative="1">
      <w:start w:val="1"/>
      <w:numFmt w:val="decimal"/>
      <w:lvlText w:val="%4."/>
      <w:lvlJc w:val="left"/>
      <w:pPr>
        <w:ind w:left="1809" w:hanging="360"/>
      </w:pPr>
    </w:lvl>
    <w:lvl w:ilvl="4" w:tplc="14090019" w:tentative="1">
      <w:start w:val="1"/>
      <w:numFmt w:val="lowerLetter"/>
      <w:lvlText w:val="%5."/>
      <w:lvlJc w:val="left"/>
      <w:pPr>
        <w:ind w:left="2529" w:hanging="360"/>
      </w:pPr>
    </w:lvl>
    <w:lvl w:ilvl="5" w:tplc="1409001B" w:tentative="1">
      <w:start w:val="1"/>
      <w:numFmt w:val="lowerRoman"/>
      <w:lvlText w:val="%6."/>
      <w:lvlJc w:val="right"/>
      <w:pPr>
        <w:ind w:left="3249" w:hanging="180"/>
      </w:pPr>
    </w:lvl>
    <w:lvl w:ilvl="6" w:tplc="1409000F" w:tentative="1">
      <w:start w:val="1"/>
      <w:numFmt w:val="decimal"/>
      <w:lvlText w:val="%7."/>
      <w:lvlJc w:val="left"/>
      <w:pPr>
        <w:ind w:left="3969" w:hanging="360"/>
      </w:pPr>
    </w:lvl>
    <w:lvl w:ilvl="7" w:tplc="14090019" w:tentative="1">
      <w:start w:val="1"/>
      <w:numFmt w:val="lowerLetter"/>
      <w:lvlText w:val="%8."/>
      <w:lvlJc w:val="left"/>
      <w:pPr>
        <w:ind w:left="4689" w:hanging="360"/>
      </w:pPr>
    </w:lvl>
    <w:lvl w:ilvl="8" w:tplc="1409001B" w:tentative="1">
      <w:start w:val="1"/>
      <w:numFmt w:val="lowerRoman"/>
      <w:lvlText w:val="%9."/>
      <w:lvlJc w:val="right"/>
      <w:pPr>
        <w:ind w:left="5409" w:hanging="180"/>
      </w:pPr>
    </w:lvl>
  </w:abstractNum>
  <w:abstractNum w:abstractNumId="4">
    <w:nsid w:val="6DDD761B"/>
    <w:multiLevelType w:val="multilevel"/>
    <w:tmpl w:val="336E6796"/>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5">
    <w:nsid w:val="6EAE555E"/>
    <w:multiLevelType w:val="hybridMultilevel"/>
    <w:tmpl w:val="5C082B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76903994"/>
    <w:multiLevelType w:val="hybridMultilevel"/>
    <w:tmpl w:val="679C2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5"/>
  </w:num>
  <w:num w:numId="6">
    <w:abstractNumId w:val="1"/>
  </w:num>
  <w:num w:numId="7">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proofState w:spelling="clean" w:grammar="clean"/>
  <w:stylePaneFormatFilter w:val="3001"/>
  <w:defaultTabStop w:val="567"/>
  <w:evenAndOddHeaders/>
  <w:drawingGridHorizontalSpacing w:val="110"/>
  <w:displayHorizontalDrawingGridEvery w:val="2"/>
  <w:noPunctuationKerning/>
  <w:characterSpacingControl w:val="doNotCompress"/>
  <w:hdrShapeDefaults>
    <o:shapedefaults v:ext="edit" spidmax="28673"/>
  </w:hdrShapeDefaults>
  <w:footnotePr>
    <w:footnote w:id="-1"/>
    <w:footnote w:id="0"/>
  </w:footnotePr>
  <w:endnotePr>
    <w:endnote w:id="-1"/>
    <w:endnote w:id="0"/>
  </w:endnotePr>
  <w:compat/>
  <w:rsids>
    <w:rsidRoot w:val="00100CC1"/>
    <w:rsid w:val="00000033"/>
    <w:rsid w:val="00003402"/>
    <w:rsid w:val="00005C0E"/>
    <w:rsid w:val="00005F1A"/>
    <w:rsid w:val="000114F6"/>
    <w:rsid w:val="00011D25"/>
    <w:rsid w:val="00012DFD"/>
    <w:rsid w:val="00014A51"/>
    <w:rsid w:val="00015F1E"/>
    <w:rsid w:val="000161BA"/>
    <w:rsid w:val="00021230"/>
    <w:rsid w:val="0002634E"/>
    <w:rsid w:val="00027079"/>
    <w:rsid w:val="0003207D"/>
    <w:rsid w:val="00033B59"/>
    <w:rsid w:val="00035475"/>
    <w:rsid w:val="00035523"/>
    <w:rsid w:val="000356E9"/>
    <w:rsid w:val="000411F2"/>
    <w:rsid w:val="000432A9"/>
    <w:rsid w:val="000438F8"/>
    <w:rsid w:val="00045525"/>
    <w:rsid w:val="00045DE1"/>
    <w:rsid w:val="00045E0D"/>
    <w:rsid w:val="0004759A"/>
    <w:rsid w:val="0005139A"/>
    <w:rsid w:val="00051E52"/>
    <w:rsid w:val="00053781"/>
    <w:rsid w:val="0005390D"/>
    <w:rsid w:val="000547D0"/>
    <w:rsid w:val="00054849"/>
    <w:rsid w:val="00054A23"/>
    <w:rsid w:val="00055DF3"/>
    <w:rsid w:val="00057FE8"/>
    <w:rsid w:val="0006127D"/>
    <w:rsid w:val="00061883"/>
    <w:rsid w:val="00062155"/>
    <w:rsid w:val="000645F9"/>
    <w:rsid w:val="00064AD6"/>
    <w:rsid w:val="00064B92"/>
    <w:rsid w:val="00065B09"/>
    <w:rsid w:val="00070C0C"/>
    <w:rsid w:val="00072166"/>
    <w:rsid w:val="00072C3C"/>
    <w:rsid w:val="00073194"/>
    <w:rsid w:val="0007388A"/>
    <w:rsid w:val="00075808"/>
    <w:rsid w:val="00081512"/>
    <w:rsid w:val="0008265F"/>
    <w:rsid w:val="000840E8"/>
    <w:rsid w:val="00084F12"/>
    <w:rsid w:val="000868C8"/>
    <w:rsid w:val="00086E2C"/>
    <w:rsid w:val="00087548"/>
    <w:rsid w:val="000902F4"/>
    <w:rsid w:val="00091529"/>
    <w:rsid w:val="00091B7D"/>
    <w:rsid w:val="000925D4"/>
    <w:rsid w:val="000A34BA"/>
    <w:rsid w:val="000A70AD"/>
    <w:rsid w:val="000A72C5"/>
    <w:rsid w:val="000B1BB1"/>
    <w:rsid w:val="000B1C63"/>
    <w:rsid w:val="000B205A"/>
    <w:rsid w:val="000B63A5"/>
    <w:rsid w:val="000B65EC"/>
    <w:rsid w:val="000B67BF"/>
    <w:rsid w:val="000C3530"/>
    <w:rsid w:val="000C3909"/>
    <w:rsid w:val="000C39CA"/>
    <w:rsid w:val="000C4D1E"/>
    <w:rsid w:val="000D2C56"/>
    <w:rsid w:val="000D39B7"/>
    <w:rsid w:val="000D4659"/>
    <w:rsid w:val="000D5CB0"/>
    <w:rsid w:val="000D6860"/>
    <w:rsid w:val="000E0117"/>
    <w:rsid w:val="000E4534"/>
    <w:rsid w:val="000E53FF"/>
    <w:rsid w:val="000E68DD"/>
    <w:rsid w:val="000F354C"/>
    <w:rsid w:val="000F634C"/>
    <w:rsid w:val="000F64B8"/>
    <w:rsid w:val="00100CC1"/>
    <w:rsid w:val="001038A7"/>
    <w:rsid w:val="00104D6E"/>
    <w:rsid w:val="00105005"/>
    <w:rsid w:val="0010671E"/>
    <w:rsid w:val="00110AC1"/>
    <w:rsid w:val="00110E8C"/>
    <w:rsid w:val="00111636"/>
    <w:rsid w:val="00116922"/>
    <w:rsid w:val="001259A6"/>
    <w:rsid w:val="00126BFA"/>
    <w:rsid w:val="00127344"/>
    <w:rsid w:val="0012749E"/>
    <w:rsid w:val="001279CC"/>
    <w:rsid w:val="00132BAC"/>
    <w:rsid w:val="001331BF"/>
    <w:rsid w:val="00135C15"/>
    <w:rsid w:val="001371DC"/>
    <w:rsid w:val="00137F9B"/>
    <w:rsid w:val="00142CDC"/>
    <w:rsid w:val="00146F22"/>
    <w:rsid w:val="001526A1"/>
    <w:rsid w:val="00153ADC"/>
    <w:rsid w:val="00155AD0"/>
    <w:rsid w:val="00160984"/>
    <w:rsid w:val="001609E9"/>
    <w:rsid w:val="00170E11"/>
    <w:rsid w:val="00170F10"/>
    <w:rsid w:val="001712E1"/>
    <w:rsid w:val="0017153F"/>
    <w:rsid w:val="0017216D"/>
    <w:rsid w:val="00173CCE"/>
    <w:rsid w:val="00174F22"/>
    <w:rsid w:val="00177130"/>
    <w:rsid w:val="00177D52"/>
    <w:rsid w:val="00182F9A"/>
    <w:rsid w:val="00183438"/>
    <w:rsid w:val="001912D3"/>
    <w:rsid w:val="0019162F"/>
    <w:rsid w:val="00195ACD"/>
    <w:rsid w:val="0019615E"/>
    <w:rsid w:val="001A2FD5"/>
    <w:rsid w:val="001A3402"/>
    <w:rsid w:val="001A59D0"/>
    <w:rsid w:val="001B22F3"/>
    <w:rsid w:val="001B633B"/>
    <w:rsid w:val="001C1F01"/>
    <w:rsid w:val="001C39F5"/>
    <w:rsid w:val="001C60E7"/>
    <w:rsid w:val="001C645B"/>
    <w:rsid w:val="001C6542"/>
    <w:rsid w:val="001D1D5D"/>
    <w:rsid w:val="001D2CC4"/>
    <w:rsid w:val="001D6249"/>
    <w:rsid w:val="001D7D90"/>
    <w:rsid w:val="001E0A4C"/>
    <w:rsid w:val="001E144F"/>
    <w:rsid w:val="001E25BF"/>
    <w:rsid w:val="001E2C24"/>
    <w:rsid w:val="001F1664"/>
    <w:rsid w:val="001F1CEF"/>
    <w:rsid w:val="001F49A8"/>
    <w:rsid w:val="001F5269"/>
    <w:rsid w:val="001F6A3F"/>
    <w:rsid w:val="001F7F9F"/>
    <w:rsid w:val="002009E8"/>
    <w:rsid w:val="00200DFD"/>
    <w:rsid w:val="002017C1"/>
    <w:rsid w:val="00202B68"/>
    <w:rsid w:val="002044B1"/>
    <w:rsid w:val="00204B30"/>
    <w:rsid w:val="00207C3B"/>
    <w:rsid w:val="00207F77"/>
    <w:rsid w:val="0021721D"/>
    <w:rsid w:val="00217633"/>
    <w:rsid w:val="00220312"/>
    <w:rsid w:val="00223EEA"/>
    <w:rsid w:val="002340E4"/>
    <w:rsid w:val="0023521F"/>
    <w:rsid w:val="00235F3E"/>
    <w:rsid w:val="0023731F"/>
    <w:rsid w:val="00237332"/>
    <w:rsid w:val="00244F16"/>
    <w:rsid w:val="00247433"/>
    <w:rsid w:val="002502C9"/>
    <w:rsid w:val="00252EA8"/>
    <w:rsid w:val="00255DC4"/>
    <w:rsid w:val="00257A92"/>
    <w:rsid w:val="00261C9A"/>
    <w:rsid w:val="002648C7"/>
    <w:rsid w:val="00266470"/>
    <w:rsid w:val="002667C6"/>
    <w:rsid w:val="002677D3"/>
    <w:rsid w:val="00267C41"/>
    <w:rsid w:val="00267D38"/>
    <w:rsid w:val="002702D7"/>
    <w:rsid w:val="00275A07"/>
    <w:rsid w:val="0028500F"/>
    <w:rsid w:val="00287F55"/>
    <w:rsid w:val="00287F99"/>
    <w:rsid w:val="00291A11"/>
    <w:rsid w:val="00292425"/>
    <w:rsid w:val="0029325B"/>
    <w:rsid w:val="00294CB1"/>
    <w:rsid w:val="002977C0"/>
    <w:rsid w:val="00297BEF"/>
    <w:rsid w:val="00297F77"/>
    <w:rsid w:val="002A025A"/>
    <w:rsid w:val="002A0C2D"/>
    <w:rsid w:val="002A2A50"/>
    <w:rsid w:val="002B43BB"/>
    <w:rsid w:val="002B48DF"/>
    <w:rsid w:val="002B515D"/>
    <w:rsid w:val="002B58D2"/>
    <w:rsid w:val="002B79CB"/>
    <w:rsid w:val="002C1C80"/>
    <w:rsid w:val="002C6392"/>
    <w:rsid w:val="002C7E18"/>
    <w:rsid w:val="002D21E0"/>
    <w:rsid w:val="002D654C"/>
    <w:rsid w:val="002D7B2B"/>
    <w:rsid w:val="002E3281"/>
    <w:rsid w:val="002E3CEC"/>
    <w:rsid w:val="002E4C92"/>
    <w:rsid w:val="002F4EBE"/>
    <w:rsid w:val="002F761D"/>
    <w:rsid w:val="002F7F68"/>
    <w:rsid w:val="0030156D"/>
    <w:rsid w:val="00301D0D"/>
    <w:rsid w:val="0030300D"/>
    <w:rsid w:val="003033D6"/>
    <w:rsid w:val="00306282"/>
    <w:rsid w:val="00306C9D"/>
    <w:rsid w:val="00312024"/>
    <w:rsid w:val="0031348B"/>
    <w:rsid w:val="003141C2"/>
    <w:rsid w:val="003151E9"/>
    <w:rsid w:val="00315AFE"/>
    <w:rsid w:val="00316A9F"/>
    <w:rsid w:val="00320D44"/>
    <w:rsid w:val="003246D8"/>
    <w:rsid w:val="00324780"/>
    <w:rsid w:val="00325152"/>
    <w:rsid w:val="0032606C"/>
    <w:rsid w:val="00326930"/>
    <w:rsid w:val="003355E9"/>
    <w:rsid w:val="00335B33"/>
    <w:rsid w:val="00337838"/>
    <w:rsid w:val="00337E5E"/>
    <w:rsid w:val="0034159A"/>
    <w:rsid w:val="00344390"/>
    <w:rsid w:val="00344FAA"/>
    <w:rsid w:val="0034641C"/>
    <w:rsid w:val="003505BA"/>
    <w:rsid w:val="00351273"/>
    <w:rsid w:val="003518F8"/>
    <w:rsid w:val="00352E44"/>
    <w:rsid w:val="00352F32"/>
    <w:rsid w:val="00355861"/>
    <w:rsid w:val="003607CD"/>
    <w:rsid w:val="0036382F"/>
    <w:rsid w:val="00365746"/>
    <w:rsid w:val="00367392"/>
    <w:rsid w:val="003677D7"/>
    <w:rsid w:val="0037205F"/>
    <w:rsid w:val="00372100"/>
    <w:rsid w:val="00375A85"/>
    <w:rsid w:val="0037646E"/>
    <w:rsid w:val="00383B99"/>
    <w:rsid w:val="00384499"/>
    <w:rsid w:val="0038704F"/>
    <w:rsid w:val="00390648"/>
    <w:rsid w:val="00390996"/>
    <w:rsid w:val="003925D9"/>
    <w:rsid w:val="003A018F"/>
    <w:rsid w:val="003A1141"/>
    <w:rsid w:val="003A2532"/>
    <w:rsid w:val="003B3E43"/>
    <w:rsid w:val="003B4A96"/>
    <w:rsid w:val="003B7D3D"/>
    <w:rsid w:val="003C13DB"/>
    <w:rsid w:val="003C221C"/>
    <w:rsid w:val="003C3FA3"/>
    <w:rsid w:val="003C6045"/>
    <w:rsid w:val="003D0AC4"/>
    <w:rsid w:val="003D2B74"/>
    <w:rsid w:val="003D2CF8"/>
    <w:rsid w:val="003D3C36"/>
    <w:rsid w:val="003D4A90"/>
    <w:rsid w:val="003D733B"/>
    <w:rsid w:val="003E0D45"/>
    <w:rsid w:val="003E18ED"/>
    <w:rsid w:val="003E1F29"/>
    <w:rsid w:val="003E2523"/>
    <w:rsid w:val="003E27B8"/>
    <w:rsid w:val="003E7627"/>
    <w:rsid w:val="003F1016"/>
    <w:rsid w:val="003F7A18"/>
    <w:rsid w:val="00400AC4"/>
    <w:rsid w:val="00406558"/>
    <w:rsid w:val="004066A2"/>
    <w:rsid w:val="00411B40"/>
    <w:rsid w:val="00413DD0"/>
    <w:rsid w:val="00417122"/>
    <w:rsid w:val="00422202"/>
    <w:rsid w:val="004230DF"/>
    <w:rsid w:val="00425FAA"/>
    <w:rsid w:val="00433E27"/>
    <w:rsid w:val="00435500"/>
    <w:rsid w:val="00437CCE"/>
    <w:rsid w:val="0044013D"/>
    <w:rsid w:val="00445D11"/>
    <w:rsid w:val="0044609A"/>
    <w:rsid w:val="004464EE"/>
    <w:rsid w:val="00446520"/>
    <w:rsid w:val="00446656"/>
    <w:rsid w:val="004474DC"/>
    <w:rsid w:val="00451C6E"/>
    <w:rsid w:val="00452836"/>
    <w:rsid w:val="00453331"/>
    <w:rsid w:val="0045616F"/>
    <w:rsid w:val="00456522"/>
    <w:rsid w:val="004571EC"/>
    <w:rsid w:val="00457F11"/>
    <w:rsid w:val="00465B51"/>
    <w:rsid w:val="004672FD"/>
    <w:rsid w:val="00473021"/>
    <w:rsid w:val="00474F80"/>
    <w:rsid w:val="00476572"/>
    <w:rsid w:val="004775FC"/>
    <w:rsid w:val="004778BF"/>
    <w:rsid w:val="004805BE"/>
    <w:rsid w:val="00484727"/>
    <w:rsid w:val="004861E5"/>
    <w:rsid w:val="004915FF"/>
    <w:rsid w:val="00492C7D"/>
    <w:rsid w:val="004939BA"/>
    <w:rsid w:val="00495D1D"/>
    <w:rsid w:val="0049732E"/>
    <w:rsid w:val="00497D50"/>
    <w:rsid w:val="004A12F9"/>
    <w:rsid w:val="004A2E4F"/>
    <w:rsid w:val="004A32E7"/>
    <w:rsid w:val="004A36E3"/>
    <w:rsid w:val="004A5A54"/>
    <w:rsid w:val="004A66A1"/>
    <w:rsid w:val="004B0055"/>
    <w:rsid w:val="004B0E1F"/>
    <w:rsid w:val="004B3F0A"/>
    <w:rsid w:val="004B501F"/>
    <w:rsid w:val="004C050D"/>
    <w:rsid w:val="004C0F58"/>
    <w:rsid w:val="004C16F8"/>
    <w:rsid w:val="004C500B"/>
    <w:rsid w:val="004C515F"/>
    <w:rsid w:val="004C5CA0"/>
    <w:rsid w:val="004D0246"/>
    <w:rsid w:val="004D1E17"/>
    <w:rsid w:val="004D20DA"/>
    <w:rsid w:val="004D2D04"/>
    <w:rsid w:val="004D3BB4"/>
    <w:rsid w:val="004D52E1"/>
    <w:rsid w:val="004D596C"/>
    <w:rsid w:val="004D7EC6"/>
    <w:rsid w:val="004E1F9F"/>
    <w:rsid w:val="004E42F0"/>
    <w:rsid w:val="004E6283"/>
    <w:rsid w:val="004E6CB9"/>
    <w:rsid w:val="004E71C7"/>
    <w:rsid w:val="004E7CA7"/>
    <w:rsid w:val="004F06DB"/>
    <w:rsid w:val="004F175C"/>
    <w:rsid w:val="004F27B2"/>
    <w:rsid w:val="004F2D1B"/>
    <w:rsid w:val="004F525C"/>
    <w:rsid w:val="004F5CB3"/>
    <w:rsid w:val="0050118D"/>
    <w:rsid w:val="00502522"/>
    <w:rsid w:val="00505DFB"/>
    <w:rsid w:val="00510A89"/>
    <w:rsid w:val="005114AE"/>
    <w:rsid w:val="00511E9F"/>
    <w:rsid w:val="00515836"/>
    <w:rsid w:val="005166CF"/>
    <w:rsid w:val="00517F63"/>
    <w:rsid w:val="0052121D"/>
    <w:rsid w:val="00521C07"/>
    <w:rsid w:val="00522757"/>
    <w:rsid w:val="00522C78"/>
    <w:rsid w:val="00531690"/>
    <w:rsid w:val="00531D62"/>
    <w:rsid w:val="00531F9F"/>
    <w:rsid w:val="005323F2"/>
    <w:rsid w:val="00532708"/>
    <w:rsid w:val="00532BA7"/>
    <w:rsid w:val="005332B8"/>
    <w:rsid w:val="005345FF"/>
    <w:rsid w:val="005350A1"/>
    <w:rsid w:val="00540389"/>
    <w:rsid w:val="00543154"/>
    <w:rsid w:val="005445C8"/>
    <w:rsid w:val="00544EBD"/>
    <w:rsid w:val="00545DC9"/>
    <w:rsid w:val="00552000"/>
    <w:rsid w:val="00552F00"/>
    <w:rsid w:val="00553620"/>
    <w:rsid w:val="00553FE7"/>
    <w:rsid w:val="005554B6"/>
    <w:rsid w:val="00555B89"/>
    <w:rsid w:val="005560B5"/>
    <w:rsid w:val="005579FC"/>
    <w:rsid w:val="00566200"/>
    <w:rsid w:val="00567577"/>
    <w:rsid w:val="005705BE"/>
    <w:rsid w:val="005717DD"/>
    <w:rsid w:val="00572809"/>
    <w:rsid w:val="00582155"/>
    <w:rsid w:val="00585E1C"/>
    <w:rsid w:val="00587AF2"/>
    <w:rsid w:val="005939B2"/>
    <w:rsid w:val="00594F60"/>
    <w:rsid w:val="00595A74"/>
    <w:rsid w:val="005975F4"/>
    <w:rsid w:val="005A1E5A"/>
    <w:rsid w:val="005A314F"/>
    <w:rsid w:val="005A41A0"/>
    <w:rsid w:val="005A5E81"/>
    <w:rsid w:val="005A6787"/>
    <w:rsid w:val="005A7070"/>
    <w:rsid w:val="005B2792"/>
    <w:rsid w:val="005B67D2"/>
    <w:rsid w:val="005B6C4B"/>
    <w:rsid w:val="005B6DE0"/>
    <w:rsid w:val="005B78A4"/>
    <w:rsid w:val="005C1109"/>
    <w:rsid w:val="005C1A82"/>
    <w:rsid w:val="005C3ECC"/>
    <w:rsid w:val="005C4D15"/>
    <w:rsid w:val="005D39ED"/>
    <w:rsid w:val="005D6860"/>
    <w:rsid w:val="005D68F7"/>
    <w:rsid w:val="005E2B5F"/>
    <w:rsid w:val="005E2F38"/>
    <w:rsid w:val="005E3795"/>
    <w:rsid w:val="005E699A"/>
    <w:rsid w:val="005E7155"/>
    <w:rsid w:val="005E7502"/>
    <w:rsid w:val="005F0806"/>
    <w:rsid w:val="005F18E1"/>
    <w:rsid w:val="005F1B8E"/>
    <w:rsid w:val="005F384A"/>
    <w:rsid w:val="005F424C"/>
    <w:rsid w:val="005F431D"/>
    <w:rsid w:val="005F6E88"/>
    <w:rsid w:val="005F6F51"/>
    <w:rsid w:val="005F7F75"/>
    <w:rsid w:val="006041B7"/>
    <w:rsid w:val="006052EB"/>
    <w:rsid w:val="00605588"/>
    <w:rsid w:val="00607EB7"/>
    <w:rsid w:val="00610017"/>
    <w:rsid w:val="00610295"/>
    <w:rsid w:val="006104B7"/>
    <w:rsid w:val="0061590D"/>
    <w:rsid w:val="00617BB4"/>
    <w:rsid w:val="00617F33"/>
    <w:rsid w:val="00624372"/>
    <w:rsid w:val="006262A3"/>
    <w:rsid w:val="00630825"/>
    <w:rsid w:val="00631310"/>
    <w:rsid w:val="00631710"/>
    <w:rsid w:val="00635CE6"/>
    <w:rsid w:val="006368F9"/>
    <w:rsid w:val="00640ECF"/>
    <w:rsid w:val="00643CB3"/>
    <w:rsid w:val="006456F6"/>
    <w:rsid w:val="00650F86"/>
    <w:rsid w:val="00651CAF"/>
    <w:rsid w:val="0065398C"/>
    <w:rsid w:val="006551E1"/>
    <w:rsid w:val="006628DC"/>
    <w:rsid w:val="0066359D"/>
    <w:rsid w:val="00663916"/>
    <w:rsid w:val="00664416"/>
    <w:rsid w:val="00665610"/>
    <w:rsid w:val="00665898"/>
    <w:rsid w:val="00666A43"/>
    <w:rsid w:val="00666E93"/>
    <w:rsid w:val="006711D7"/>
    <w:rsid w:val="00672B71"/>
    <w:rsid w:val="00674607"/>
    <w:rsid w:val="0067622C"/>
    <w:rsid w:val="006767C6"/>
    <w:rsid w:val="006779DB"/>
    <w:rsid w:val="00680D3A"/>
    <w:rsid w:val="00682791"/>
    <w:rsid w:val="0069109A"/>
    <w:rsid w:val="006920E4"/>
    <w:rsid w:val="006920F1"/>
    <w:rsid w:val="00692E06"/>
    <w:rsid w:val="006958EB"/>
    <w:rsid w:val="006A0089"/>
    <w:rsid w:val="006A61D7"/>
    <w:rsid w:val="006A66EB"/>
    <w:rsid w:val="006B10D7"/>
    <w:rsid w:val="006B2DB1"/>
    <w:rsid w:val="006B4E05"/>
    <w:rsid w:val="006B595C"/>
    <w:rsid w:val="006B7391"/>
    <w:rsid w:val="006B7657"/>
    <w:rsid w:val="006C0C1E"/>
    <w:rsid w:val="006C1031"/>
    <w:rsid w:val="006C3E92"/>
    <w:rsid w:val="006C6471"/>
    <w:rsid w:val="006D4B00"/>
    <w:rsid w:val="006D509D"/>
    <w:rsid w:val="006D6BCD"/>
    <w:rsid w:val="006D7D58"/>
    <w:rsid w:val="006E0517"/>
    <w:rsid w:val="006E0B2C"/>
    <w:rsid w:val="006E1187"/>
    <w:rsid w:val="006E52B9"/>
    <w:rsid w:val="006E6F7E"/>
    <w:rsid w:val="006E7C8E"/>
    <w:rsid w:val="006E7CE9"/>
    <w:rsid w:val="006F0E7D"/>
    <w:rsid w:val="006F2678"/>
    <w:rsid w:val="006F26ED"/>
    <w:rsid w:val="006F4FC8"/>
    <w:rsid w:val="006F5679"/>
    <w:rsid w:val="006F57EA"/>
    <w:rsid w:val="00700C9C"/>
    <w:rsid w:val="00700D3C"/>
    <w:rsid w:val="00701BA8"/>
    <w:rsid w:val="00702FC4"/>
    <w:rsid w:val="00704EF1"/>
    <w:rsid w:val="00705CDC"/>
    <w:rsid w:val="00707A0A"/>
    <w:rsid w:val="00710540"/>
    <w:rsid w:val="007138E1"/>
    <w:rsid w:val="00714B48"/>
    <w:rsid w:val="00720CBD"/>
    <w:rsid w:val="0072163D"/>
    <w:rsid w:val="00721E8C"/>
    <w:rsid w:val="00722C6C"/>
    <w:rsid w:val="007270BD"/>
    <w:rsid w:val="0073013D"/>
    <w:rsid w:val="00730455"/>
    <w:rsid w:val="007333AE"/>
    <w:rsid w:val="00737B46"/>
    <w:rsid w:val="00741AE4"/>
    <w:rsid w:val="007431C3"/>
    <w:rsid w:val="00743A44"/>
    <w:rsid w:val="0074635C"/>
    <w:rsid w:val="00746B79"/>
    <w:rsid w:val="00750F1B"/>
    <w:rsid w:val="00750F58"/>
    <w:rsid w:val="00753C6F"/>
    <w:rsid w:val="0075475E"/>
    <w:rsid w:val="00757DBE"/>
    <w:rsid w:val="00763BE6"/>
    <w:rsid w:val="00763D24"/>
    <w:rsid w:val="00764323"/>
    <w:rsid w:val="0076584C"/>
    <w:rsid w:val="00766201"/>
    <w:rsid w:val="00766DD7"/>
    <w:rsid w:val="00766F18"/>
    <w:rsid w:val="00767E52"/>
    <w:rsid w:val="00767FF4"/>
    <w:rsid w:val="00770222"/>
    <w:rsid w:val="007708E2"/>
    <w:rsid w:val="007712E9"/>
    <w:rsid w:val="00772A3E"/>
    <w:rsid w:val="0077410A"/>
    <w:rsid w:val="00780F3F"/>
    <w:rsid w:val="00780FE7"/>
    <w:rsid w:val="00782918"/>
    <w:rsid w:val="00783A97"/>
    <w:rsid w:val="00792103"/>
    <w:rsid w:val="00794D8F"/>
    <w:rsid w:val="00795385"/>
    <w:rsid w:val="00797AC8"/>
    <w:rsid w:val="007A034C"/>
    <w:rsid w:val="007A2951"/>
    <w:rsid w:val="007A4B8D"/>
    <w:rsid w:val="007A6092"/>
    <w:rsid w:val="007A66D5"/>
    <w:rsid w:val="007B0A98"/>
    <w:rsid w:val="007B2C96"/>
    <w:rsid w:val="007B3C86"/>
    <w:rsid w:val="007B5983"/>
    <w:rsid w:val="007B6819"/>
    <w:rsid w:val="007B699A"/>
    <w:rsid w:val="007C076E"/>
    <w:rsid w:val="007C2266"/>
    <w:rsid w:val="007C3C34"/>
    <w:rsid w:val="007C5376"/>
    <w:rsid w:val="007C537A"/>
    <w:rsid w:val="007C724A"/>
    <w:rsid w:val="007C7903"/>
    <w:rsid w:val="007D2A79"/>
    <w:rsid w:val="007D4BB2"/>
    <w:rsid w:val="007D4F80"/>
    <w:rsid w:val="007D7B82"/>
    <w:rsid w:val="007E0F47"/>
    <w:rsid w:val="007E152C"/>
    <w:rsid w:val="007E2228"/>
    <w:rsid w:val="007E26D3"/>
    <w:rsid w:val="007E38AC"/>
    <w:rsid w:val="007E473C"/>
    <w:rsid w:val="007E5043"/>
    <w:rsid w:val="007F35E2"/>
    <w:rsid w:val="007F3E1E"/>
    <w:rsid w:val="00801283"/>
    <w:rsid w:val="00801392"/>
    <w:rsid w:val="008017BA"/>
    <w:rsid w:val="00802631"/>
    <w:rsid w:val="0080603C"/>
    <w:rsid w:val="00807C63"/>
    <w:rsid w:val="008135D5"/>
    <w:rsid w:val="00814777"/>
    <w:rsid w:val="008155A9"/>
    <w:rsid w:val="00821AAD"/>
    <w:rsid w:val="00823559"/>
    <w:rsid w:val="0082705F"/>
    <w:rsid w:val="00827ED4"/>
    <w:rsid w:val="00830822"/>
    <w:rsid w:val="00830A18"/>
    <w:rsid w:val="0083141A"/>
    <w:rsid w:val="0083259C"/>
    <w:rsid w:val="00832F8A"/>
    <w:rsid w:val="00833BA1"/>
    <w:rsid w:val="00834EF0"/>
    <w:rsid w:val="00835D64"/>
    <w:rsid w:val="008367BC"/>
    <w:rsid w:val="008414E1"/>
    <w:rsid w:val="008446D1"/>
    <w:rsid w:val="00845470"/>
    <w:rsid w:val="008456EC"/>
    <w:rsid w:val="008475B3"/>
    <w:rsid w:val="008522AC"/>
    <w:rsid w:val="008553C7"/>
    <w:rsid w:val="00855E56"/>
    <w:rsid w:val="00860FB5"/>
    <w:rsid w:val="00862D85"/>
    <w:rsid w:val="00864508"/>
    <w:rsid w:val="0086540B"/>
    <w:rsid w:val="00872FCF"/>
    <w:rsid w:val="00875B27"/>
    <w:rsid w:val="008870EC"/>
    <w:rsid w:val="00896E75"/>
    <w:rsid w:val="00897205"/>
    <w:rsid w:val="00897AD3"/>
    <w:rsid w:val="008A021C"/>
    <w:rsid w:val="008A176D"/>
    <w:rsid w:val="008A1D44"/>
    <w:rsid w:val="008A23C4"/>
    <w:rsid w:val="008A29B2"/>
    <w:rsid w:val="008A3B72"/>
    <w:rsid w:val="008A4C30"/>
    <w:rsid w:val="008A6AD9"/>
    <w:rsid w:val="008A6FBC"/>
    <w:rsid w:val="008B499E"/>
    <w:rsid w:val="008B6254"/>
    <w:rsid w:val="008B6381"/>
    <w:rsid w:val="008C29E4"/>
    <w:rsid w:val="008C326F"/>
    <w:rsid w:val="008C48F6"/>
    <w:rsid w:val="008C7D35"/>
    <w:rsid w:val="008D2049"/>
    <w:rsid w:val="008D29E7"/>
    <w:rsid w:val="008D71E8"/>
    <w:rsid w:val="008E0202"/>
    <w:rsid w:val="008E1189"/>
    <w:rsid w:val="008E208A"/>
    <w:rsid w:val="008E405B"/>
    <w:rsid w:val="008F0B50"/>
    <w:rsid w:val="008F1940"/>
    <w:rsid w:val="008F1A8B"/>
    <w:rsid w:val="008F1DA0"/>
    <w:rsid w:val="008F49EB"/>
    <w:rsid w:val="008F627F"/>
    <w:rsid w:val="00901B41"/>
    <w:rsid w:val="00907D09"/>
    <w:rsid w:val="0091037A"/>
    <w:rsid w:val="00910E96"/>
    <w:rsid w:val="009117EC"/>
    <w:rsid w:val="00911AFB"/>
    <w:rsid w:val="00912D3E"/>
    <w:rsid w:val="00913A91"/>
    <w:rsid w:val="00916471"/>
    <w:rsid w:val="009170D0"/>
    <w:rsid w:val="00917258"/>
    <w:rsid w:val="009176C4"/>
    <w:rsid w:val="009200A4"/>
    <w:rsid w:val="00922D80"/>
    <w:rsid w:val="00923C82"/>
    <w:rsid w:val="0092779F"/>
    <w:rsid w:val="00933737"/>
    <w:rsid w:val="009362CA"/>
    <w:rsid w:val="0093689B"/>
    <w:rsid w:val="00937DCD"/>
    <w:rsid w:val="009401DB"/>
    <w:rsid w:val="0094226C"/>
    <w:rsid w:val="00942A6C"/>
    <w:rsid w:val="00955E00"/>
    <w:rsid w:val="00956AE5"/>
    <w:rsid w:val="00960D08"/>
    <w:rsid w:val="0096221D"/>
    <w:rsid w:val="00964492"/>
    <w:rsid w:val="00970BDA"/>
    <w:rsid w:val="00972D76"/>
    <w:rsid w:val="00975833"/>
    <w:rsid w:val="00975D50"/>
    <w:rsid w:val="00977EF3"/>
    <w:rsid w:val="0098073F"/>
    <w:rsid w:val="00981518"/>
    <w:rsid w:val="009873EB"/>
    <w:rsid w:val="00987D75"/>
    <w:rsid w:val="009906ED"/>
    <w:rsid w:val="009930F4"/>
    <w:rsid w:val="00995115"/>
    <w:rsid w:val="009A016F"/>
    <w:rsid w:val="009A1065"/>
    <w:rsid w:val="009A33C6"/>
    <w:rsid w:val="009A3916"/>
    <w:rsid w:val="009A58D0"/>
    <w:rsid w:val="009A7099"/>
    <w:rsid w:val="009A78FC"/>
    <w:rsid w:val="009B19A9"/>
    <w:rsid w:val="009B34B3"/>
    <w:rsid w:val="009B3AE4"/>
    <w:rsid w:val="009B3E51"/>
    <w:rsid w:val="009B4680"/>
    <w:rsid w:val="009B61B8"/>
    <w:rsid w:val="009C2301"/>
    <w:rsid w:val="009C6C06"/>
    <w:rsid w:val="009D653D"/>
    <w:rsid w:val="009D7E1B"/>
    <w:rsid w:val="009D7FC7"/>
    <w:rsid w:val="009E0FC7"/>
    <w:rsid w:val="009E1CAD"/>
    <w:rsid w:val="009E4743"/>
    <w:rsid w:val="009E4C86"/>
    <w:rsid w:val="009E703A"/>
    <w:rsid w:val="009F1A28"/>
    <w:rsid w:val="009F3DE4"/>
    <w:rsid w:val="009F5A23"/>
    <w:rsid w:val="009F73C1"/>
    <w:rsid w:val="00A055E8"/>
    <w:rsid w:val="00A06594"/>
    <w:rsid w:val="00A07BD5"/>
    <w:rsid w:val="00A07F6A"/>
    <w:rsid w:val="00A105D1"/>
    <w:rsid w:val="00A11453"/>
    <w:rsid w:val="00A133CE"/>
    <w:rsid w:val="00A140A7"/>
    <w:rsid w:val="00A145BD"/>
    <w:rsid w:val="00A22A14"/>
    <w:rsid w:val="00A22B41"/>
    <w:rsid w:val="00A23C14"/>
    <w:rsid w:val="00A257E0"/>
    <w:rsid w:val="00A2789C"/>
    <w:rsid w:val="00A278CB"/>
    <w:rsid w:val="00A30DA2"/>
    <w:rsid w:val="00A30EF7"/>
    <w:rsid w:val="00A33D71"/>
    <w:rsid w:val="00A34D25"/>
    <w:rsid w:val="00A37106"/>
    <w:rsid w:val="00A37816"/>
    <w:rsid w:val="00A412D7"/>
    <w:rsid w:val="00A42A5C"/>
    <w:rsid w:val="00A42DD9"/>
    <w:rsid w:val="00A43B45"/>
    <w:rsid w:val="00A44CC8"/>
    <w:rsid w:val="00A45831"/>
    <w:rsid w:val="00A475E5"/>
    <w:rsid w:val="00A50282"/>
    <w:rsid w:val="00A51E64"/>
    <w:rsid w:val="00A53433"/>
    <w:rsid w:val="00A54297"/>
    <w:rsid w:val="00A544AD"/>
    <w:rsid w:val="00A54E5C"/>
    <w:rsid w:val="00A551DC"/>
    <w:rsid w:val="00A55BA7"/>
    <w:rsid w:val="00A5644B"/>
    <w:rsid w:val="00A63770"/>
    <w:rsid w:val="00A64675"/>
    <w:rsid w:val="00A64A35"/>
    <w:rsid w:val="00A72649"/>
    <w:rsid w:val="00A7417E"/>
    <w:rsid w:val="00A7607D"/>
    <w:rsid w:val="00A77321"/>
    <w:rsid w:val="00A86411"/>
    <w:rsid w:val="00A867FD"/>
    <w:rsid w:val="00A879A4"/>
    <w:rsid w:val="00A902E6"/>
    <w:rsid w:val="00A95BC0"/>
    <w:rsid w:val="00A96147"/>
    <w:rsid w:val="00AA0322"/>
    <w:rsid w:val="00AA25C0"/>
    <w:rsid w:val="00AA2A5A"/>
    <w:rsid w:val="00AA3459"/>
    <w:rsid w:val="00AA5218"/>
    <w:rsid w:val="00AA543C"/>
    <w:rsid w:val="00AA6785"/>
    <w:rsid w:val="00AB20AC"/>
    <w:rsid w:val="00AB21EC"/>
    <w:rsid w:val="00AB2968"/>
    <w:rsid w:val="00AB4280"/>
    <w:rsid w:val="00AC2069"/>
    <w:rsid w:val="00AC382F"/>
    <w:rsid w:val="00AD12A7"/>
    <w:rsid w:val="00AD20BD"/>
    <w:rsid w:val="00AD2536"/>
    <w:rsid w:val="00AD2E21"/>
    <w:rsid w:val="00AD4EA4"/>
    <w:rsid w:val="00AD5648"/>
    <w:rsid w:val="00AD7E01"/>
    <w:rsid w:val="00AE3372"/>
    <w:rsid w:val="00AF0321"/>
    <w:rsid w:val="00AF1151"/>
    <w:rsid w:val="00AF50C0"/>
    <w:rsid w:val="00AF5DCF"/>
    <w:rsid w:val="00B00D49"/>
    <w:rsid w:val="00B01B45"/>
    <w:rsid w:val="00B01BCB"/>
    <w:rsid w:val="00B0337C"/>
    <w:rsid w:val="00B06C4A"/>
    <w:rsid w:val="00B10D08"/>
    <w:rsid w:val="00B11168"/>
    <w:rsid w:val="00B14BCF"/>
    <w:rsid w:val="00B15FF3"/>
    <w:rsid w:val="00B16A9B"/>
    <w:rsid w:val="00B21927"/>
    <w:rsid w:val="00B220A6"/>
    <w:rsid w:val="00B22C11"/>
    <w:rsid w:val="00B2525D"/>
    <w:rsid w:val="00B256B0"/>
    <w:rsid w:val="00B25D58"/>
    <w:rsid w:val="00B31EFC"/>
    <w:rsid w:val="00B326EF"/>
    <w:rsid w:val="00B34CA8"/>
    <w:rsid w:val="00B35091"/>
    <w:rsid w:val="00B36A6D"/>
    <w:rsid w:val="00B36D09"/>
    <w:rsid w:val="00B376FA"/>
    <w:rsid w:val="00B409ED"/>
    <w:rsid w:val="00B4186D"/>
    <w:rsid w:val="00B434C8"/>
    <w:rsid w:val="00B4411A"/>
    <w:rsid w:val="00B4490E"/>
    <w:rsid w:val="00B4798E"/>
    <w:rsid w:val="00B50183"/>
    <w:rsid w:val="00B5104A"/>
    <w:rsid w:val="00B5211F"/>
    <w:rsid w:val="00B521F5"/>
    <w:rsid w:val="00B532D9"/>
    <w:rsid w:val="00B573B8"/>
    <w:rsid w:val="00B61141"/>
    <w:rsid w:val="00B61A92"/>
    <w:rsid w:val="00B6279C"/>
    <w:rsid w:val="00B6368D"/>
    <w:rsid w:val="00B647C7"/>
    <w:rsid w:val="00B65434"/>
    <w:rsid w:val="00B675AF"/>
    <w:rsid w:val="00B72F97"/>
    <w:rsid w:val="00B74EB6"/>
    <w:rsid w:val="00B75EEE"/>
    <w:rsid w:val="00B7715A"/>
    <w:rsid w:val="00B8056E"/>
    <w:rsid w:val="00B83046"/>
    <w:rsid w:val="00B92DE7"/>
    <w:rsid w:val="00B96A5E"/>
    <w:rsid w:val="00B97569"/>
    <w:rsid w:val="00B97858"/>
    <w:rsid w:val="00B97E76"/>
    <w:rsid w:val="00BA1C44"/>
    <w:rsid w:val="00BA31DD"/>
    <w:rsid w:val="00BA373B"/>
    <w:rsid w:val="00BA4B49"/>
    <w:rsid w:val="00BA6713"/>
    <w:rsid w:val="00BB2F89"/>
    <w:rsid w:val="00BB3572"/>
    <w:rsid w:val="00BB3A79"/>
    <w:rsid w:val="00BB40B3"/>
    <w:rsid w:val="00BB72D9"/>
    <w:rsid w:val="00BC0F45"/>
    <w:rsid w:val="00BC12FA"/>
    <w:rsid w:val="00BC1730"/>
    <w:rsid w:val="00BC3A84"/>
    <w:rsid w:val="00BC68F5"/>
    <w:rsid w:val="00BD2BC4"/>
    <w:rsid w:val="00BD3630"/>
    <w:rsid w:val="00BD37FC"/>
    <w:rsid w:val="00BD408A"/>
    <w:rsid w:val="00BE073B"/>
    <w:rsid w:val="00BE2E38"/>
    <w:rsid w:val="00BE40D5"/>
    <w:rsid w:val="00BE4628"/>
    <w:rsid w:val="00BE4C89"/>
    <w:rsid w:val="00BE792B"/>
    <w:rsid w:val="00BF02BF"/>
    <w:rsid w:val="00BF4566"/>
    <w:rsid w:val="00BF45AC"/>
    <w:rsid w:val="00BF79C4"/>
    <w:rsid w:val="00C001C7"/>
    <w:rsid w:val="00C0209A"/>
    <w:rsid w:val="00C022F2"/>
    <w:rsid w:val="00C03859"/>
    <w:rsid w:val="00C12C42"/>
    <w:rsid w:val="00C13C84"/>
    <w:rsid w:val="00C157CE"/>
    <w:rsid w:val="00C15E66"/>
    <w:rsid w:val="00C20523"/>
    <w:rsid w:val="00C2190B"/>
    <w:rsid w:val="00C21E13"/>
    <w:rsid w:val="00C241BF"/>
    <w:rsid w:val="00C25D9F"/>
    <w:rsid w:val="00C26783"/>
    <w:rsid w:val="00C27B80"/>
    <w:rsid w:val="00C3098B"/>
    <w:rsid w:val="00C31066"/>
    <w:rsid w:val="00C356A2"/>
    <w:rsid w:val="00C37D69"/>
    <w:rsid w:val="00C421B4"/>
    <w:rsid w:val="00C45324"/>
    <w:rsid w:val="00C45C6F"/>
    <w:rsid w:val="00C46CA4"/>
    <w:rsid w:val="00C50A88"/>
    <w:rsid w:val="00C52EE2"/>
    <w:rsid w:val="00C56586"/>
    <w:rsid w:val="00C614AD"/>
    <w:rsid w:val="00C61CF9"/>
    <w:rsid w:val="00C64698"/>
    <w:rsid w:val="00C648E3"/>
    <w:rsid w:val="00C65E13"/>
    <w:rsid w:val="00C71B8A"/>
    <w:rsid w:val="00C75B93"/>
    <w:rsid w:val="00C77323"/>
    <w:rsid w:val="00C80637"/>
    <w:rsid w:val="00C8183C"/>
    <w:rsid w:val="00C81D6E"/>
    <w:rsid w:val="00C82931"/>
    <w:rsid w:val="00C82FB3"/>
    <w:rsid w:val="00C83C01"/>
    <w:rsid w:val="00C914CF"/>
    <w:rsid w:val="00C92CEE"/>
    <w:rsid w:val="00C966FB"/>
    <w:rsid w:val="00CA0050"/>
    <w:rsid w:val="00CA0E2A"/>
    <w:rsid w:val="00CA29EF"/>
    <w:rsid w:val="00CA2E45"/>
    <w:rsid w:val="00CA2E92"/>
    <w:rsid w:val="00CA311B"/>
    <w:rsid w:val="00CA4286"/>
    <w:rsid w:val="00CA47E9"/>
    <w:rsid w:val="00CA63FE"/>
    <w:rsid w:val="00CA6711"/>
    <w:rsid w:val="00CA7696"/>
    <w:rsid w:val="00CA7BCF"/>
    <w:rsid w:val="00CB057F"/>
    <w:rsid w:val="00CB0813"/>
    <w:rsid w:val="00CB2233"/>
    <w:rsid w:val="00CB23B3"/>
    <w:rsid w:val="00CB4212"/>
    <w:rsid w:val="00CB6773"/>
    <w:rsid w:val="00CB74F5"/>
    <w:rsid w:val="00CC0E9E"/>
    <w:rsid w:val="00CC1F56"/>
    <w:rsid w:val="00CC2BDF"/>
    <w:rsid w:val="00CC3EDB"/>
    <w:rsid w:val="00CC5CC1"/>
    <w:rsid w:val="00CD3A1E"/>
    <w:rsid w:val="00CD50FA"/>
    <w:rsid w:val="00CD5540"/>
    <w:rsid w:val="00CD56FF"/>
    <w:rsid w:val="00CD720E"/>
    <w:rsid w:val="00CE01DA"/>
    <w:rsid w:val="00CE1810"/>
    <w:rsid w:val="00CE3D2B"/>
    <w:rsid w:val="00CE54C7"/>
    <w:rsid w:val="00CF2D42"/>
    <w:rsid w:val="00CF6325"/>
    <w:rsid w:val="00D014FF"/>
    <w:rsid w:val="00D03BAC"/>
    <w:rsid w:val="00D04922"/>
    <w:rsid w:val="00D04B97"/>
    <w:rsid w:val="00D05E29"/>
    <w:rsid w:val="00D06456"/>
    <w:rsid w:val="00D101A5"/>
    <w:rsid w:val="00D11CD9"/>
    <w:rsid w:val="00D1212F"/>
    <w:rsid w:val="00D13A34"/>
    <w:rsid w:val="00D157EF"/>
    <w:rsid w:val="00D15BF6"/>
    <w:rsid w:val="00D2426E"/>
    <w:rsid w:val="00D24389"/>
    <w:rsid w:val="00D24A03"/>
    <w:rsid w:val="00D36894"/>
    <w:rsid w:val="00D36A98"/>
    <w:rsid w:val="00D37623"/>
    <w:rsid w:val="00D40111"/>
    <w:rsid w:val="00D417D0"/>
    <w:rsid w:val="00D41EBE"/>
    <w:rsid w:val="00D4352A"/>
    <w:rsid w:val="00D4369F"/>
    <w:rsid w:val="00D47647"/>
    <w:rsid w:val="00D47E38"/>
    <w:rsid w:val="00D52327"/>
    <w:rsid w:val="00D560DE"/>
    <w:rsid w:val="00D570FD"/>
    <w:rsid w:val="00D605CB"/>
    <w:rsid w:val="00D61F52"/>
    <w:rsid w:val="00D62311"/>
    <w:rsid w:val="00D626B0"/>
    <w:rsid w:val="00D629FE"/>
    <w:rsid w:val="00D71316"/>
    <w:rsid w:val="00D718E4"/>
    <w:rsid w:val="00D71CAE"/>
    <w:rsid w:val="00D740BB"/>
    <w:rsid w:val="00D74FC0"/>
    <w:rsid w:val="00D75D98"/>
    <w:rsid w:val="00D770FC"/>
    <w:rsid w:val="00D82428"/>
    <w:rsid w:val="00D82DA5"/>
    <w:rsid w:val="00D84478"/>
    <w:rsid w:val="00D84866"/>
    <w:rsid w:val="00D85B95"/>
    <w:rsid w:val="00D867C1"/>
    <w:rsid w:val="00D87656"/>
    <w:rsid w:val="00D87F18"/>
    <w:rsid w:val="00D87F57"/>
    <w:rsid w:val="00D90400"/>
    <w:rsid w:val="00D904D6"/>
    <w:rsid w:val="00D90F80"/>
    <w:rsid w:val="00D91C83"/>
    <w:rsid w:val="00D93703"/>
    <w:rsid w:val="00D94DEA"/>
    <w:rsid w:val="00D969CA"/>
    <w:rsid w:val="00DB15C5"/>
    <w:rsid w:val="00DB2A0E"/>
    <w:rsid w:val="00DB54FD"/>
    <w:rsid w:val="00DB5BD2"/>
    <w:rsid w:val="00DB6C9F"/>
    <w:rsid w:val="00DC5360"/>
    <w:rsid w:val="00DC6252"/>
    <w:rsid w:val="00DC62B9"/>
    <w:rsid w:val="00DD0416"/>
    <w:rsid w:val="00DD3E0E"/>
    <w:rsid w:val="00DD4284"/>
    <w:rsid w:val="00DD4BF5"/>
    <w:rsid w:val="00DD54FD"/>
    <w:rsid w:val="00DD7C8E"/>
    <w:rsid w:val="00DE1B0E"/>
    <w:rsid w:val="00DE303E"/>
    <w:rsid w:val="00DE3421"/>
    <w:rsid w:val="00DE3610"/>
    <w:rsid w:val="00DE4240"/>
    <w:rsid w:val="00DE429D"/>
    <w:rsid w:val="00DE42B7"/>
    <w:rsid w:val="00DF06E1"/>
    <w:rsid w:val="00DF1570"/>
    <w:rsid w:val="00DF3429"/>
    <w:rsid w:val="00DF71C3"/>
    <w:rsid w:val="00E00089"/>
    <w:rsid w:val="00E0148E"/>
    <w:rsid w:val="00E02FAC"/>
    <w:rsid w:val="00E03374"/>
    <w:rsid w:val="00E0650B"/>
    <w:rsid w:val="00E106DE"/>
    <w:rsid w:val="00E174CB"/>
    <w:rsid w:val="00E21B86"/>
    <w:rsid w:val="00E21FBD"/>
    <w:rsid w:val="00E25F2E"/>
    <w:rsid w:val="00E27D97"/>
    <w:rsid w:val="00E309A4"/>
    <w:rsid w:val="00E314E2"/>
    <w:rsid w:val="00E370BF"/>
    <w:rsid w:val="00E41A16"/>
    <w:rsid w:val="00E45C6A"/>
    <w:rsid w:val="00E5067A"/>
    <w:rsid w:val="00E509DB"/>
    <w:rsid w:val="00E51E19"/>
    <w:rsid w:val="00E52FA9"/>
    <w:rsid w:val="00E53974"/>
    <w:rsid w:val="00E545E8"/>
    <w:rsid w:val="00E5542C"/>
    <w:rsid w:val="00E62C3B"/>
    <w:rsid w:val="00E72BC0"/>
    <w:rsid w:val="00E72FD2"/>
    <w:rsid w:val="00E74126"/>
    <w:rsid w:val="00E769DC"/>
    <w:rsid w:val="00E76DC8"/>
    <w:rsid w:val="00E811BE"/>
    <w:rsid w:val="00E82167"/>
    <w:rsid w:val="00E82416"/>
    <w:rsid w:val="00E82566"/>
    <w:rsid w:val="00E85855"/>
    <w:rsid w:val="00E9122B"/>
    <w:rsid w:val="00E917A8"/>
    <w:rsid w:val="00E92A6B"/>
    <w:rsid w:val="00E94968"/>
    <w:rsid w:val="00E96A3C"/>
    <w:rsid w:val="00EA09D3"/>
    <w:rsid w:val="00EA1211"/>
    <w:rsid w:val="00EA1F32"/>
    <w:rsid w:val="00EA258C"/>
    <w:rsid w:val="00EA26C4"/>
    <w:rsid w:val="00EA284E"/>
    <w:rsid w:val="00EA4C7B"/>
    <w:rsid w:val="00EA6A11"/>
    <w:rsid w:val="00EA7DEE"/>
    <w:rsid w:val="00EB1F53"/>
    <w:rsid w:val="00EB3043"/>
    <w:rsid w:val="00EB34A9"/>
    <w:rsid w:val="00EB5FC1"/>
    <w:rsid w:val="00EB783B"/>
    <w:rsid w:val="00EC0400"/>
    <w:rsid w:val="00EC4C79"/>
    <w:rsid w:val="00EC6AA9"/>
    <w:rsid w:val="00ED5C86"/>
    <w:rsid w:val="00ED68DB"/>
    <w:rsid w:val="00ED7F6E"/>
    <w:rsid w:val="00EE3AF2"/>
    <w:rsid w:val="00EE5D8C"/>
    <w:rsid w:val="00EE6B28"/>
    <w:rsid w:val="00EE7930"/>
    <w:rsid w:val="00EF1F2B"/>
    <w:rsid w:val="00EF26AA"/>
    <w:rsid w:val="00EF4D41"/>
    <w:rsid w:val="00EF51E3"/>
    <w:rsid w:val="00F009F0"/>
    <w:rsid w:val="00F021BD"/>
    <w:rsid w:val="00F043AA"/>
    <w:rsid w:val="00F04C73"/>
    <w:rsid w:val="00F05232"/>
    <w:rsid w:val="00F0613C"/>
    <w:rsid w:val="00F107BC"/>
    <w:rsid w:val="00F117E2"/>
    <w:rsid w:val="00F11DE3"/>
    <w:rsid w:val="00F12E90"/>
    <w:rsid w:val="00F20499"/>
    <w:rsid w:val="00F256A9"/>
    <w:rsid w:val="00F27446"/>
    <w:rsid w:val="00F27EF8"/>
    <w:rsid w:val="00F372C0"/>
    <w:rsid w:val="00F37407"/>
    <w:rsid w:val="00F375E4"/>
    <w:rsid w:val="00F40653"/>
    <w:rsid w:val="00F41727"/>
    <w:rsid w:val="00F41AF1"/>
    <w:rsid w:val="00F4495A"/>
    <w:rsid w:val="00F45EC2"/>
    <w:rsid w:val="00F50511"/>
    <w:rsid w:val="00F53D21"/>
    <w:rsid w:val="00F55155"/>
    <w:rsid w:val="00F55DE7"/>
    <w:rsid w:val="00F57B5F"/>
    <w:rsid w:val="00F57D06"/>
    <w:rsid w:val="00F60599"/>
    <w:rsid w:val="00F60EE2"/>
    <w:rsid w:val="00F663B6"/>
    <w:rsid w:val="00F67954"/>
    <w:rsid w:val="00F73B51"/>
    <w:rsid w:val="00F757D6"/>
    <w:rsid w:val="00F77E08"/>
    <w:rsid w:val="00F84053"/>
    <w:rsid w:val="00F91836"/>
    <w:rsid w:val="00F93C54"/>
    <w:rsid w:val="00F95491"/>
    <w:rsid w:val="00FA19F5"/>
    <w:rsid w:val="00FA634A"/>
    <w:rsid w:val="00FA79C3"/>
    <w:rsid w:val="00FB050F"/>
    <w:rsid w:val="00FB0999"/>
    <w:rsid w:val="00FB1CD6"/>
    <w:rsid w:val="00FB22F8"/>
    <w:rsid w:val="00FB3CC0"/>
    <w:rsid w:val="00FB4B5B"/>
    <w:rsid w:val="00FB6EEF"/>
    <w:rsid w:val="00FB774D"/>
    <w:rsid w:val="00FC396D"/>
    <w:rsid w:val="00FC56CF"/>
    <w:rsid w:val="00FC60C8"/>
    <w:rsid w:val="00FC7C29"/>
    <w:rsid w:val="00FD0726"/>
    <w:rsid w:val="00FD107D"/>
    <w:rsid w:val="00FD46AD"/>
    <w:rsid w:val="00FD5FE1"/>
    <w:rsid w:val="00FD718F"/>
    <w:rsid w:val="00FE1ED9"/>
    <w:rsid w:val="00FE2F41"/>
    <w:rsid w:val="00FE3D1F"/>
    <w:rsid w:val="00FE5FA7"/>
    <w:rsid w:val="00FE6332"/>
    <w:rsid w:val="00FE7236"/>
    <w:rsid w:val="00FF204C"/>
    <w:rsid w:val="00FF3CED"/>
    <w:rsid w:val="00FF5C97"/>
    <w:rsid w:val="00FF6239"/>
    <w:rsid w:val="00FF7DB6"/>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er" w:uiPriority="9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13C"/>
    <w:rPr>
      <w:sz w:val="22"/>
      <w:szCs w:val="24"/>
      <w:lang w:eastAsia="en-US"/>
    </w:rPr>
  </w:style>
  <w:style w:type="paragraph" w:styleId="Heading1">
    <w:name w:val="heading 1"/>
    <w:basedOn w:val="Normal"/>
    <w:next w:val="BodyText"/>
    <w:link w:val="Heading1Char"/>
    <w:qFormat/>
    <w:rsid w:val="00CC3EDB"/>
    <w:pPr>
      <w:keepNext/>
      <w:numPr>
        <w:numId w:val="1"/>
      </w:numPr>
      <w:pBdr>
        <w:bottom w:val="single" w:sz="12" w:space="1" w:color="347FB9"/>
      </w:pBdr>
      <w:spacing w:after="360"/>
      <w:outlineLvl w:val="0"/>
    </w:pPr>
    <w:rPr>
      <w:rFonts w:ascii="Arial" w:hAnsi="Arial"/>
      <w:caps/>
      <w:sz w:val="32"/>
    </w:rPr>
  </w:style>
  <w:style w:type="paragraph" w:styleId="Heading2">
    <w:name w:val="heading 2"/>
    <w:basedOn w:val="Normal"/>
    <w:next w:val="BodyText"/>
    <w:link w:val="Heading2Char"/>
    <w:qFormat/>
    <w:rsid w:val="00B22C11"/>
    <w:pPr>
      <w:keepNext/>
      <w:numPr>
        <w:ilvl w:val="1"/>
        <w:numId w:val="1"/>
      </w:numPr>
      <w:spacing w:before="240" w:after="240" w:line="260" w:lineRule="atLeast"/>
      <w:outlineLvl w:val="1"/>
    </w:pPr>
    <w:rPr>
      <w:rFonts w:ascii="Arial" w:hAnsi="Arial"/>
      <w:sz w:val="28"/>
      <w:szCs w:val="28"/>
    </w:rPr>
  </w:style>
  <w:style w:type="paragraph" w:styleId="Heading3">
    <w:name w:val="heading 3"/>
    <w:basedOn w:val="Normal"/>
    <w:next w:val="BodyText"/>
    <w:qFormat/>
    <w:rsid w:val="00A54297"/>
    <w:pPr>
      <w:keepNext/>
      <w:spacing w:before="120" w:line="260" w:lineRule="atLeast"/>
      <w:outlineLvl w:val="2"/>
    </w:pPr>
    <w:rPr>
      <w:rFonts w:ascii="Arial" w:hAnsi="Arial"/>
      <w:b/>
    </w:rPr>
  </w:style>
  <w:style w:type="paragraph" w:styleId="Heading4">
    <w:name w:val="heading 4"/>
    <w:basedOn w:val="BodyText"/>
    <w:next w:val="BodyText"/>
    <w:qFormat/>
    <w:rsid w:val="00B83046"/>
    <w:pPr>
      <w:keepNext/>
      <w:spacing w:before="120" w:after="0"/>
      <w:outlineLvl w:val="3"/>
    </w:pPr>
    <w:rPr>
      <w:b/>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B72D9"/>
    <w:pPr>
      <w:spacing w:after="240" w:line="260" w:lineRule="atLeast"/>
      <w:jc w:val="both"/>
    </w:pPr>
    <w:rPr>
      <w:szCs w:val="20"/>
    </w:rPr>
  </w:style>
  <w:style w:type="character" w:customStyle="1" w:styleId="BodyTextChar">
    <w:name w:val="Body Text Char"/>
    <w:basedOn w:val="DefaultParagraphFont"/>
    <w:link w:val="BodyText"/>
    <w:rsid w:val="00C71B8A"/>
    <w:rPr>
      <w:sz w:val="22"/>
      <w:lang w:eastAsia="en-US"/>
    </w:rPr>
  </w:style>
  <w:style w:type="paragraph" w:customStyle="1" w:styleId="Bullet2nospace">
    <w:name w:val="Bullet 2 no space"/>
    <w:basedOn w:val="Bullet1"/>
    <w:rsid w:val="00E21B86"/>
    <w:pPr>
      <w:spacing w:after="0"/>
    </w:pPr>
  </w:style>
  <w:style w:type="paragraph" w:customStyle="1" w:styleId="Bullet1">
    <w:name w:val="Bullet 1"/>
    <w:basedOn w:val="BodyText"/>
    <w:rsid w:val="00411B40"/>
    <w:pPr>
      <w:tabs>
        <w:tab w:val="left" w:pos="284"/>
      </w:tabs>
      <w:ind w:left="284" w:hanging="284"/>
    </w:pPr>
  </w:style>
  <w:style w:type="paragraph" w:styleId="Footer">
    <w:name w:val="footer"/>
    <w:basedOn w:val="Normal"/>
    <w:link w:val="FooterChar"/>
    <w:uiPriority w:val="99"/>
    <w:rsid w:val="00995115"/>
    <w:pPr>
      <w:tabs>
        <w:tab w:val="center" w:pos="4153"/>
        <w:tab w:val="right" w:pos="8306"/>
      </w:tabs>
    </w:pPr>
  </w:style>
  <w:style w:type="paragraph" w:styleId="FootnoteText">
    <w:name w:val="footnote text"/>
    <w:basedOn w:val="Normal"/>
    <w:link w:val="FootnoteTextChar"/>
    <w:semiHidden/>
    <w:rsid w:val="009A016F"/>
    <w:rPr>
      <w:sz w:val="14"/>
      <w:szCs w:val="20"/>
    </w:rPr>
  </w:style>
  <w:style w:type="character" w:customStyle="1" w:styleId="FootnoteTextChar">
    <w:name w:val="Footnote Text Char"/>
    <w:basedOn w:val="DefaultParagraphFont"/>
    <w:link w:val="FootnoteText"/>
    <w:semiHidden/>
    <w:rsid w:val="00091B7D"/>
    <w:rPr>
      <w:sz w:val="14"/>
      <w:lang w:eastAsia="en-US"/>
    </w:rPr>
  </w:style>
  <w:style w:type="paragraph" w:styleId="Header">
    <w:name w:val="header"/>
    <w:basedOn w:val="Normal"/>
    <w:rsid w:val="00C64698"/>
    <w:pPr>
      <w:tabs>
        <w:tab w:val="center" w:pos="4253"/>
        <w:tab w:val="right" w:pos="8505"/>
      </w:tabs>
      <w:spacing w:line="200" w:lineRule="atLeast"/>
    </w:pPr>
    <w:rPr>
      <w:sz w:val="16"/>
      <w:szCs w:val="20"/>
    </w:rPr>
  </w:style>
  <w:style w:type="character" w:styleId="Hyperlink">
    <w:name w:val="Hyperlink"/>
    <w:basedOn w:val="DefaultParagraphFont"/>
    <w:uiPriority w:val="99"/>
    <w:rsid w:val="00922D80"/>
    <w:rPr>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basedOn w:val="TableNormal"/>
    <w:rsid w:val="00433E27"/>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2D8E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2D8EA"/>
      </w:tcPr>
    </w:tblStylePr>
  </w:style>
  <w:style w:type="table" w:styleId="TableGrid">
    <w:name w:val="Table Grid"/>
    <w:basedOn w:val="TableNormal"/>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A80F89"/>
    <w:rPr>
      <w:vertAlign w:val="superscript"/>
    </w:rPr>
  </w:style>
  <w:style w:type="paragraph" w:styleId="Caption">
    <w:name w:val="caption"/>
    <w:basedOn w:val="Normal"/>
    <w:next w:val="Normal"/>
    <w:qFormat/>
    <w:rsid w:val="006C3E92"/>
    <w:pPr>
      <w:keepNext/>
      <w:spacing w:line="220" w:lineRule="atLeast"/>
    </w:pPr>
    <w:rPr>
      <w:rFonts w:ascii="Arial" w:hAnsi="Arial" w:cs="Arial"/>
      <w:b/>
      <w:bCs/>
      <w:sz w:val="15"/>
      <w:szCs w:val="20"/>
    </w:rPr>
  </w:style>
  <w:style w:type="character" w:styleId="PageNumber">
    <w:name w:val="page number"/>
    <w:basedOn w:val="DefaultParagraphFont"/>
    <w:semiHidden/>
    <w:rsid w:val="009930F4"/>
    <w:rPr>
      <w:rFonts w:ascii="Arial" w:hAnsi="Arial"/>
      <w:sz w:val="18"/>
    </w:rPr>
  </w:style>
  <w:style w:type="paragraph" w:customStyle="1" w:styleId="Tabletext">
    <w:name w:val="Table text"/>
    <w:basedOn w:val="Normal"/>
    <w:rsid w:val="00F45EC2"/>
    <w:pPr>
      <w:spacing w:line="220" w:lineRule="atLeast"/>
    </w:pPr>
    <w:rPr>
      <w:rFonts w:ascii="Arial" w:hAnsi="Arial"/>
      <w:sz w:val="15"/>
    </w:rPr>
  </w:style>
  <w:style w:type="paragraph" w:styleId="BalloonText">
    <w:name w:val="Balloon Text"/>
    <w:basedOn w:val="Normal"/>
    <w:semiHidden/>
    <w:rsid w:val="002541DD"/>
    <w:rPr>
      <w:rFonts w:cs="Tahoma"/>
      <w:sz w:val="16"/>
      <w:szCs w:val="16"/>
    </w:rPr>
  </w:style>
  <w:style w:type="paragraph" w:customStyle="1" w:styleId="Tableheading">
    <w:name w:val="Table heading"/>
    <w:basedOn w:val="Tabletext"/>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B22C11"/>
    <w:pPr>
      <w:spacing w:before="120" w:after="240" w:line="180" w:lineRule="atLeast"/>
    </w:pPr>
    <w:rPr>
      <w:rFonts w:ascii="Arial" w:hAnsi="Arial"/>
      <w:sz w:val="14"/>
    </w:rPr>
  </w:style>
  <w:style w:type="paragraph" w:customStyle="1" w:styleId="Bullet1a">
    <w:name w:val="Bullet 1a"/>
    <w:basedOn w:val="Bullet1"/>
    <w:rsid w:val="00315AFE"/>
    <w:pPr>
      <w:tabs>
        <w:tab w:val="left" w:pos="567"/>
      </w:tabs>
      <w:ind w:left="568"/>
    </w:pPr>
  </w:style>
  <w:style w:type="paragraph" w:customStyle="1" w:styleId="Figurelabel">
    <w:name w:val="Figure label"/>
    <w:basedOn w:val="Caption"/>
    <w:next w:val="BodyText"/>
    <w:rsid w:val="009A7099"/>
    <w:pPr>
      <w:spacing w:after="120"/>
    </w:pPr>
    <w:rPr>
      <w:b w:val="0"/>
    </w:rPr>
  </w:style>
  <w:style w:type="paragraph" w:customStyle="1" w:styleId="Referencetext">
    <w:name w:val="Reference text"/>
    <w:basedOn w:val="BodyText"/>
    <w:qFormat/>
    <w:rsid w:val="00AD4BF0"/>
  </w:style>
  <w:style w:type="paragraph" w:styleId="Title">
    <w:name w:val="Title"/>
    <w:basedOn w:val="Normal"/>
    <w:qFormat/>
    <w:rsid w:val="004D7EC6"/>
    <w:pPr>
      <w:spacing w:after="120" w:line="620" w:lineRule="exact"/>
      <w:ind w:left="2552"/>
      <w:jc w:val="right"/>
      <w:outlineLvl w:val="0"/>
    </w:pPr>
    <w:rPr>
      <w:rFonts w:ascii="Arial" w:hAnsi="Arial"/>
      <w:color w:val="FFFFFF"/>
      <w:sz w:val="48"/>
    </w:rPr>
  </w:style>
  <w:style w:type="paragraph" w:customStyle="1" w:styleId="Insidecover">
    <w:name w:val="Inside cover"/>
    <w:basedOn w:val="Normal"/>
    <w:rsid w:val="004D1E17"/>
    <w:pPr>
      <w:ind w:left="-284"/>
    </w:pPr>
    <w:rPr>
      <w:rFonts w:ascii="Arial" w:hAnsi="Arial"/>
      <w:sz w:val="18"/>
    </w:rPr>
  </w:style>
  <w:style w:type="paragraph" w:customStyle="1" w:styleId="Heading">
    <w:name w:val="Heading"/>
    <w:basedOn w:val="Normal"/>
    <w:next w:val="BodyText"/>
    <w:rsid w:val="00CC3EDB"/>
    <w:pPr>
      <w:keepNext/>
      <w:pBdr>
        <w:bottom w:val="single" w:sz="12" w:space="1" w:color="347FB9"/>
      </w:pBdr>
      <w:tabs>
        <w:tab w:val="left" w:pos="567"/>
      </w:tabs>
      <w:spacing w:after="360"/>
    </w:pPr>
    <w:rPr>
      <w:rFonts w:ascii="Arial" w:hAnsi="Arial"/>
      <w:caps/>
      <w:sz w:val="32"/>
    </w:rPr>
  </w:style>
  <w:style w:type="paragraph" w:customStyle="1" w:styleId="Keypointheading">
    <w:name w:val="Key point heading"/>
    <w:basedOn w:val="Normal"/>
    <w:next w:val="Keypointtext"/>
    <w:rsid w:val="007B699A"/>
    <w:pPr>
      <w:spacing w:before="120"/>
    </w:pPr>
    <w:rPr>
      <w:rFonts w:ascii="Arial" w:hAnsi="Arial"/>
      <w:caps/>
      <w:sz w:val="20"/>
    </w:rPr>
  </w:style>
  <w:style w:type="paragraph" w:customStyle="1" w:styleId="FooterEvenPage">
    <w:name w:val="Footer Even Page"/>
    <w:qFormat/>
    <w:rsid w:val="00457F11"/>
    <w:pPr>
      <w:ind w:left="851"/>
      <w:jc w:val="right"/>
    </w:pPr>
    <w:rPr>
      <w:rFonts w:ascii="Arial" w:hAnsi="Arial"/>
      <w:sz w:val="16"/>
      <w:szCs w:val="18"/>
      <w:lang w:eastAsia="en-US"/>
    </w:rPr>
  </w:style>
  <w:style w:type="paragraph" w:customStyle="1" w:styleId="FooterOddPage">
    <w:name w:val="Footer Odd Page"/>
    <w:basedOn w:val="Normal"/>
    <w:rsid w:val="004F175C"/>
    <w:pPr>
      <w:spacing w:line="200" w:lineRule="atLeast"/>
      <w:ind w:right="851"/>
      <w:jc w:val="right"/>
    </w:pPr>
    <w:rPr>
      <w:rFonts w:ascii="Arial" w:hAnsi="Arial"/>
      <w:sz w:val="16"/>
      <w:szCs w:val="18"/>
    </w:rPr>
  </w:style>
  <w:style w:type="paragraph" w:customStyle="1" w:styleId="Figure-Table">
    <w:name w:val="Figure-Table #"/>
    <w:basedOn w:val="Normal"/>
    <w:rsid w:val="009A33C6"/>
    <w:pPr>
      <w:spacing w:before="240" w:after="120" w:line="260" w:lineRule="exact"/>
    </w:pPr>
    <w:rPr>
      <w:rFonts w:ascii="Arial" w:hAnsi="Arial" w:cs="Arial"/>
      <w:b/>
      <w:sz w:val="18"/>
    </w:rPr>
  </w:style>
  <w:style w:type="paragraph" w:customStyle="1" w:styleId="Tablelabel">
    <w:name w:val="Table label"/>
    <w:basedOn w:val="Caption"/>
    <w:next w:val="Normal"/>
    <w:rsid w:val="009A7099"/>
    <w:pPr>
      <w:spacing w:after="120"/>
    </w:pPr>
    <w:rPr>
      <w:b w:val="0"/>
    </w:rPr>
  </w:style>
  <w:style w:type="paragraph" w:customStyle="1" w:styleId="Bullet2a">
    <w:name w:val="Bullet 2a"/>
    <w:basedOn w:val="Bullet2nospace"/>
    <w:rsid w:val="00315AFE"/>
    <w:pPr>
      <w:tabs>
        <w:tab w:val="left" w:pos="567"/>
      </w:tabs>
      <w:ind w:left="568"/>
    </w:pPr>
  </w:style>
  <w:style w:type="table" w:customStyle="1" w:styleId="TableMOE2">
    <w:name w:val="Table MOE 2"/>
    <w:basedOn w:val="TableMOE1"/>
    <w:rsid w:val="00433E27"/>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2D8E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2D8EA"/>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2D8EA"/>
      </w:tcPr>
    </w:tblStylePr>
  </w:style>
  <w:style w:type="paragraph" w:customStyle="1" w:styleId="Appendix">
    <w:name w:val="Appendix"/>
    <w:basedOn w:val="Heading1"/>
    <w:next w:val="BodyText"/>
    <w:rsid w:val="009D7E1B"/>
    <w:pPr>
      <w:numPr>
        <w:numId w:val="2"/>
      </w:numPr>
    </w:pPr>
  </w:style>
  <w:style w:type="table" w:customStyle="1" w:styleId="TableMOE3">
    <w:name w:val="Table MOE 3"/>
    <w:basedOn w:val="TableGrid"/>
    <w:rsid w:val="00433E27"/>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4D7EC6"/>
    <w:pPr>
      <w:ind w:left="2835"/>
      <w:outlineLvl w:val="1"/>
    </w:pPr>
    <w:rPr>
      <w:i/>
      <w:sz w:val="40"/>
      <w:szCs w:val="40"/>
    </w:rPr>
  </w:style>
  <w:style w:type="paragraph" w:customStyle="1" w:styleId="Headingspaceafter">
    <w:name w:val="Heading (space after)"/>
    <w:basedOn w:val="Heading"/>
    <w:next w:val="BodyText"/>
    <w:rsid w:val="00BB72D9"/>
    <w:pPr>
      <w:spacing w:after="1200"/>
    </w:pPr>
    <w:rPr>
      <w:caps w:val="0"/>
      <w:sz w:val="36"/>
    </w:rPr>
  </w:style>
  <w:style w:type="table" w:customStyle="1" w:styleId="TableMOE4">
    <w:name w:val="Table MOE 4"/>
    <w:basedOn w:val="TableMOE3"/>
    <w:rsid w:val="005B2792"/>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CC3EDB"/>
    <w:pPr>
      <w:spacing w:after="240" w:line="260" w:lineRule="atLeast"/>
      <w:jc w:val="both"/>
    </w:pPr>
    <w:rPr>
      <w:rFonts w:ascii="Arial" w:hAnsi="Arial" w:cs="Arial"/>
      <w:color w:val="347FB9"/>
      <w:sz w:val="24"/>
    </w:rPr>
  </w:style>
  <w:style w:type="paragraph" w:customStyle="1" w:styleId="Heading1BnotinTOC">
    <w:name w:val="Heading 1B (not in TOC)"/>
    <w:basedOn w:val="Normal"/>
    <w:next w:val="BodyText"/>
    <w:rsid w:val="00720CBD"/>
    <w:pPr>
      <w:spacing w:after="240" w:line="260" w:lineRule="atLeast"/>
      <w:jc w:val="both"/>
    </w:pPr>
    <w:rPr>
      <w:rFonts w:ascii="Arial" w:hAnsi="Arial"/>
      <w:color w:val="347FB9"/>
      <w:sz w:val="24"/>
    </w:rPr>
  </w:style>
  <w:style w:type="paragraph" w:customStyle="1" w:styleId="AppendixSub">
    <w:name w:val="Appendix Sub"/>
    <w:basedOn w:val="Appendix"/>
    <w:next w:val="BodyText"/>
    <w:rsid w:val="00D04B97"/>
    <w:pPr>
      <w:numPr>
        <w:ilvl w:val="1"/>
      </w:numPr>
      <w:pBdr>
        <w:bottom w:val="none" w:sz="0" w:space="0" w:color="auto"/>
      </w:pBdr>
      <w:spacing w:before="240" w:after="240" w:line="260" w:lineRule="atLeast"/>
    </w:pPr>
    <w:rPr>
      <w:caps w:val="0"/>
      <w:sz w:val="28"/>
    </w:rPr>
  </w:style>
  <w:style w:type="paragraph" w:customStyle="1" w:styleId="Heading2a">
    <w:name w:val="Heading 2a"/>
    <w:basedOn w:val="Normal"/>
    <w:next w:val="BodyText"/>
    <w:rsid w:val="005A41A0"/>
    <w:pPr>
      <w:keepNext/>
      <w:numPr>
        <w:ilvl w:val="2"/>
        <w:numId w:val="1"/>
      </w:numPr>
      <w:spacing w:before="240" w:after="240" w:line="260" w:lineRule="atLeast"/>
    </w:pPr>
    <w:rPr>
      <w:rFonts w:ascii="Arial" w:hAnsi="Arial"/>
      <w:sz w:val="24"/>
    </w:rPr>
  </w:style>
  <w:style w:type="paragraph" w:styleId="TOC3">
    <w:name w:val="toc 3"/>
    <w:basedOn w:val="Normal"/>
    <w:next w:val="Normal"/>
    <w:autoRedefine/>
    <w:semiHidden/>
    <w:rsid w:val="00400AC4"/>
    <w:pPr>
      <w:ind w:left="440"/>
    </w:pPr>
  </w:style>
  <w:style w:type="paragraph" w:customStyle="1" w:styleId="font1">
    <w:name w:val="font1"/>
    <w:basedOn w:val="Normal"/>
    <w:rsid w:val="00417122"/>
    <w:pPr>
      <w:spacing w:before="100" w:beforeAutospacing="1" w:after="100" w:afterAutospacing="1"/>
    </w:pPr>
    <w:rPr>
      <w:rFonts w:ascii="Arial" w:hAnsi="Arial" w:cs="Arial"/>
      <w:sz w:val="20"/>
      <w:szCs w:val="20"/>
      <w:lang w:eastAsia="en-NZ"/>
    </w:rPr>
  </w:style>
  <w:style w:type="paragraph" w:customStyle="1" w:styleId="font5">
    <w:name w:val="font5"/>
    <w:basedOn w:val="Normal"/>
    <w:rsid w:val="00417122"/>
    <w:pPr>
      <w:spacing w:before="100" w:beforeAutospacing="1" w:after="100" w:afterAutospacing="1"/>
    </w:pPr>
    <w:rPr>
      <w:rFonts w:ascii="Arial" w:hAnsi="Arial" w:cs="Arial"/>
      <w:sz w:val="14"/>
      <w:szCs w:val="14"/>
      <w:lang w:eastAsia="en-NZ"/>
    </w:rPr>
  </w:style>
  <w:style w:type="paragraph" w:customStyle="1" w:styleId="font6">
    <w:name w:val="font6"/>
    <w:basedOn w:val="Normal"/>
    <w:rsid w:val="00417122"/>
    <w:pPr>
      <w:spacing w:before="100" w:beforeAutospacing="1" w:after="100" w:afterAutospacing="1"/>
    </w:pPr>
    <w:rPr>
      <w:rFonts w:ascii="Arial" w:hAnsi="Arial" w:cs="Arial"/>
      <w:sz w:val="14"/>
      <w:szCs w:val="14"/>
      <w:lang w:eastAsia="en-NZ"/>
    </w:rPr>
  </w:style>
  <w:style w:type="paragraph" w:customStyle="1" w:styleId="xl69">
    <w:name w:val="xl69"/>
    <w:basedOn w:val="Normal"/>
    <w:rsid w:val="00417122"/>
    <w:pPr>
      <w:spacing w:before="100" w:beforeAutospacing="1" w:after="100" w:afterAutospacing="1"/>
    </w:pPr>
    <w:rPr>
      <w:rFonts w:ascii="Arial" w:hAnsi="Arial" w:cs="Arial"/>
      <w:sz w:val="14"/>
      <w:szCs w:val="14"/>
      <w:lang w:eastAsia="en-NZ"/>
    </w:rPr>
  </w:style>
  <w:style w:type="paragraph" w:customStyle="1" w:styleId="xl70">
    <w:name w:val="xl70"/>
    <w:basedOn w:val="Normal"/>
    <w:rsid w:val="00417122"/>
    <w:pPr>
      <w:spacing w:before="100" w:beforeAutospacing="1" w:after="100" w:afterAutospacing="1"/>
      <w:jc w:val="center"/>
      <w:textAlignment w:val="top"/>
    </w:pPr>
    <w:rPr>
      <w:rFonts w:ascii="Arial" w:hAnsi="Arial" w:cs="Arial"/>
      <w:sz w:val="14"/>
      <w:szCs w:val="14"/>
      <w:lang w:eastAsia="en-NZ"/>
    </w:rPr>
  </w:style>
  <w:style w:type="paragraph" w:customStyle="1" w:styleId="xl71">
    <w:name w:val="xl71"/>
    <w:basedOn w:val="Normal"/>
    <w:rsid w:val="00417122"/>
    <w:pPr>
      <w:pBdr>
        <w:right w:val="single" w:sz="4" w:space="0" w:color="3366FF"/>
      </w:pBdr>
      <w:spacing w:before="100" w:beforeAutospacing="1" w:after="100" w:afterAutospacing="1"/>
      <w:jc w:val="center"/>
      <w:textAlignment w:val="top"/>
    </w:pPr>
    <w:rPr>
      <w:rFonts w:ascii="Arial" w:hAnsi="Arial" w:cs="Arial"/>
      <w:sz w:val="14"/>
      <w:szCs w:val="14"/>
      <w:lang w:eastAsia="en-NZ"/>
    </w:rPr>
  </w:style>
  <w:style w:type="paragraph" w:customStyle="1" w:styleId="xl72">
    <w:name w:val="xl72"/>
    <w:basedOn w:val="Normal"/>
    <w:rsid w:val="00417122"/>
    <w:pPr>
      <w:spacing w:before="100" w:beforeAutospacing="1" w:after="100" w:afterAutospacing="1"/>
      <w:jc w:val="right"/>
    </w:pPr>
    <w:rPr>
      <w:rFonts w:ascii="Arial" w:hAnsi="Arial" w:cs="Arial"/>
      <w:sz w:val="14"/>
      <w:szCs w:val="14"/>
      <w:lang w:eastAsia="en-NZ"/>
    </w:rPr>
  </w:style>
  <w:style w:type="paragraph" w:customStyle="1" w:styleId="xl73">
    <w:name w:val="xl73"/>
    <w:basedOn w:val="Normal"/>
    <w:rsid w:val="00417122"/>
    <w:pPr>
      <w:pBdr>
        <w:right w:val="single" w:sz="4" w:space="0" w:color="3366FF"/>
      </w:pBdr>
      <w:spacing w:before="100" w:beforeAutospacing="1" w:after="100" w:afterAutospacing="1"/>
      <w:jc w:val="right"/>
    </w:pPr>
    <w:rPr>
      <w:rFonts w:ascii="Arial" w:hAnsi="Arial" w:cs="Arial"/>
      <w:sz w:val="14"/>
      <w:szCs w:val="14"/>
      <w:lang w:eastAsia="en-NZ"/>
    </w:rPr>
  </w:style>
  <w:style w:type="paragraph" w:customStyle="1" w:styleId="xl74">
    <w:name w:val="xl74"/>
    <w:basedOn w:val="Normal"/>
    <w:rsid w:val="00417122"/>
    <w:pPr>
      <w:spacing w:before="100" w:beforeAutospacing="1" w:after="100" w:afterAutospacing="1"/>
    </w:pPr>
    <w:rPr>
      <w:rFonts w:ascii="Arial" w:hAnsi="Arial" w:cs="Arial"/>
      <w:color w:val="FF0000"/>
      <w:sz w:val="14"/>
      <w:szCs w:val="14"/>
      <w:lang w:eastAsia="en-NZ"/>
    </w:rPr>
  </w:style>
  <w:style w:type="paragraph" w:customStyle="1" w:styleId="xl75">
    <w:name w:val="xl75"/>
    <w:basedOn w:val="Normal"/>
    <w:rsid w:val="00417122"/>
    <w:pPr>
      <w:pBdr>
        <w:right w:val="single" w:sz="4" w:space="0" w:color="3366FF"/>
      </w:pBdr>
      <w:spacing w:before="100" w:beforeAutospacing="1" w:after="100" w:afterAutospacing="1"/>
      <w:ind w:firstLineChars="100" w:firstLine="100"/>
    </w:pPr>
    <w:rPr>
      <w:rFonts w:ascii="Arial" w:hAnsi="Arial" w:cs="Arial"/>
      <w:sz w:val="14"/>
      <w:szCs w:val="14"/>
      <w:lang w:eastAsia="en-NZ"/>
    </w:rPr>
  </w:style>
  <w:style w:type="paragraph" w:customStyle="1" w:styleId="xl76">
    <w:name w:val="xl76"/>
    <w:basedOn w:val="Normal"/>
    <w:rsid w:val="00417122"/>
    <w:pPr>
      <w:spacing w:before="100" w:beforeAutospacing="1" w:after="100" w:afterAutospacing="1"/>
    </w:pPr>
    <w:rPr>
      <w:rFonts w:ascii="Arial" w:hAnsi="Arial" w:cs="Arial"/>
      <w:sz w:val="14"/>
      <w:szCs w:val="14"/>
      <w:lang w:eastAsia="en-NZ"/>
    </w:rPr>
  </w:style>
  <w:style w:type="paragraph" w:customStyle="1" w:styleId="xl77">
    <w:name w:val="xl77"/>
    <w:basedOn w:val="Normal"/>
    <w:rsid w:val="00417122"/>
    <w:pPr>
      <w:spacing w:before="100" w:beforeAutospacing="1" w:after="100" w:afterAutospacing="1"/>
      <w:jc w:val="right"/>
    </w:pPr>
    <w:rPr>
      <w:rFonts w:ascii="Arial" w:hAnsi="Arial" w:cs="Arial"/>
      <w:sz w:val="14"/>
      <w:szCs w:val="14"/>
      <w:lang w:eastAsia="en-NZ"/>
    </w:rPr>
  </w:style>
  <w:style w:type="paragraph" w:customStyle="1" w:styleId="xl78">
    <w:name w:val="xl78"/>
    <w:basedOn w:val="Normal"/>
    <w:rsid w:val="00417122"/>
    <w:pPr>
      <w:spacing w:before="100" w:beforeAutospacing="1" w:after="100" w:afterAutospacing="1"/>
      <w:jc w:val="right"/>
    </w:pPr>
    <w:rPr>
      <w:rFonts w:ascii="Arial" w:hAnsi="Arial" w:cs="Arial"/>
      <w:sz w:val="14"/>
      <w:szCs w:val="14"/>
      <w:lang w:eastAsia="en-NZ"/>
    </w:rPr>
  </w:style>
  <w:style w:type="paragraph" w:customStyle="1" w:styleId="xl79">
    <w:name w:val="xl79"/>
    <w:basedOn w:val="Normal"/>
    <w:rsid w:val="00417122"/>
    <w:pPr>
      <w:spacing w:before="100" w:beforeAutospacing="1" w:after="100" w:afterAutospacing="1"/>
    </w:pPr>
    <w:rPr>
      <w:rFonts w:ascii="Arial" w:hAnsi="Arial" w:cs="Arial"/>
      <w:color w:val="FF0000"/>
      <w:sz w:val="14"/>
      <w:szCs w:val="14"/>
      <w:lang w:eastAsia="en-NZ"/>
    </w:rPr>
  </w:style>
  <w:style w:type="paragraph" w:customStyle="1" w:styleId="xl80">
    <w:name w:val="xl80"/>
    <w:basedOn w:val="Normal"/>
    <w:rsid w:val="00417122"/>
    <w:pPr>
      <w:spacing w:before="100" w:beforeAutospacing="1" w:after="100" w:afterAutospacing="1"/>
      <w:jc w:val="right"/>
    </w:pPr>
    <w:rPr>
      <w:rFonts w:ascii="Arial" w:hAnsi="Arial" w:cs="Arial"/>
      <w:sz w:val="14"/>
      <w:szCs w:val="14"/>
      <w:lang w:eastAsia="en-NZ"/>
    </w:rPr>
  </w:style>
  <w:style w:type="paragraph" w:customStyle="1" w:styleId="xl81">
    <w:name w:val="xl81"/>
    <w:basedOn w:val="Normal"/>
    <w:rsid w:val="00417122"/>
    <w:pPr>
      <w:spacing w:before="100" w:beforeAutospacing="1" w:after="100" w:afterAutospacing="1"/>
      <w:jc w:val="right"/>
    </w:pPr>
    <w:rPr>
      <w:rFonts w:ascii="Arial" w:hAnsi="Arial" w:cs="Arial"/>
      <w:color w:val="000000"/>
      <w:sz w:val="14"/>
      <w:szCs w:val="14"/>
      <w:lang w:eastAsia="en-NZ"/>
    </w:rPr>
  </w:style>
  <w:style w:type="paragraph" w:customStyle="1" w:styleId="xl82">
    <w:name w:val="xl82"/>
    <w:basedOn w:val="Normal"/>
    <w:rsid w:val="00417122"/>
    <w:pPr>
      <w:pBdr>
        <w:top w:val="single" w:sz="4" w:space="0" w:color="3366FF"/>
        <w:bottom w:val="single" w:sz="4" w:space="0" w:color="3366FF"/>
        <w:right w:val="single" w:sz="4" w:space="0" w:color="3366FF"/>
      </w:pBdr>
      <w:spacing w:before="100" w:beforeAutospacing="1" w:after="100" w:afterAutospacing="1"/>
      <w:jc w:val="right"/>
    </w:pPr>
    <w:rPr>
      <w:rFonts w:ascii="Arial" w:hAnsi="Arial" w:cs="Arial"/>
      <w:sz w:val="14"/>
      <w:szCs w:val="14"/>
      <w:lang w:eastAsia="en-NZ"/>
    </w:rPr>
  </w:style>
  <w:style w:type="paragraph" w:customStyle="1" w:styleId="xl83">
    <w:name w:val="xl83"/>
    <w:basedOn w:val="Normal"/>
    <w:rsid w:val="00417122"/>
    <w:pPr>
      <w:spacing w:before="100" w:beforeAutospacing="1" w:after="100" w:afterAutospacing="1"/>
      <w:jc w:val="right"/>
    </w:pPr>
    <w:rPr>
      <w:rFonts w:ascii="Arial" w:hAnsi="Arial" w:cs="Arial"/>
      <w:color w:val="000000"/>
      <w:sz w:val="14"/>
      <w:szCs w:val="14"/>
      <w:lang w:eastAsia="en-NZ"/>
    </w:rPr>
  </w:style>
  <w:style w:type="paragraph" w:customStyle="1" w:styleId="xl84">
    <w:name w:val="xl84"/>
    <w:basedOn w:val="Normal"/>
    <w:rsid w:val="00417122"/>
    <w:pPr>
      <w:spacing w:before="100" w:beforeAutospacing="1" w:after="100" w:afterAutospacing="1"/>
    </w:pPr>
    <w:rPr>
      <w:rFonts w:ascii="Arial" w:hAnsi="Arial" w:cs="Arial"/>
      <w:color w:val="FF0000"/>
      <w:sz w:val="14"/>
      <w:szCs w:val="14"/>
      <w:lang w:eastAsia="en-NZ"/>
    </w:rPr>
  </w:style>
  <w:style w:type="paragraph" w:customStyle="1" w:styleId="xl85">
    <w:name w:val="xl85"/>
    <w:basedOn w:val="Normal"/>
    <w:rsid w:val="00417122"/>
    <w:pPr>
      <w:spacing w:before="100" w:beforeAutospacing="1" w:after="100" w:afterAutospacing="1"/>
    </w:pPr>
    <w:rPr>
      <w:rFonts w:ascii="Arial" w:hAnsi="Arial" w:cs="Arial"/>
      <w:sz w:val="14"/>
      <w:szCs w:val="14"/>
      <w:lang w:eastAsia="en-NZ"/>
    </w:rPr>
  </w:style>
  <w:style w:type="paragraph" w:customStyle="1" w:styleId="xl86">
    <w:name w:val="xl86"/>
    <w:basedOn w:val="Normal"/>
    <w:rsid w:val="00417122"/>
    <w:pPr>
      <w:spacing w:before="100" w:beforeAutospacing="1" w:after="100" w:afterAutospacing="1"/>
      <w:ind w:firstLineChars="100" w:firstLine="100"/>
      <w:jc w:val="right"/>
    </w:pPr>
    <w:rPr>
      <w:rFonts w:ascii="Arial" w:hAnsi="Arial" w:cs="Arial"/>
      <w:sz w:val="14"/>
      <w:szCs w:val="14"/>
      <w:lang w:eastAsia="en-NZ"/>
    </w:rPr>
  </w:style>
  <w:style w:type="paragraph" w:customStyle="1" w:styleId="xl87">
    <w:name w:val="xl87"/>
    <w:basedOn w:val="Normal"/>
    <w:rsid w:val="00417122"/>
    <w:pPr>
      <w:spacing w:before="100" w:beforeAutospacing="1" w:after="100" w:afterAutospacing="1"/>
      <w:ind w:firstLineChars="100" w:firstLine="100"/>
      <w:jc w:val="right"/>
    </w:pPr>
    <w:rPr>
      <w:rFonts w:ascii="Arial" w:hAnsi="Arial" w:cs="Arial"/>
      <w:color w:val="FF0000"/>
      <w:sz w:val="14"/>
      <w:szCs w:val="14"/>
      <w:lang w:eastAsia="en-NZ"/>
    </w:rPr>
  </w:style>
  <w:style w:type="paragraph" w:customStyle="1" w:styleId="xl88">
    <w:name w:val="xl88"/>
    <w:basedOn w:val="Normal"/>
    <w:rsid w:val="00417122"/>
    <w:pPr>
      <w:spacing w:before="100" w:beforeAutospacing="1" w:after="100" w:afterAutospacing="1"/>
      <w:ind w:firstLineChars="100" w:firstLine="100"/>
    </w:pPr>
    <w:rPr>
      <w:rFonts w:ascii="Arial" w:hAnsi="Arial" w:cs="Arial"/>
      <w:sz w:val="14"/>
      <w:szCs w:val="14"/>
      <w:lang w:eastAsia="en-NZ"/>
    </w:rPr>
  </w:style>
  <w:style w:type="paragraph" w:customStyle="1" w:styleId="xl89">
    <w:name w:val="xl89"/>
    <w:basedOn w:val="Normal"/>
    <w:rsid w:val="00417122"/>
    <w:pPr>
      <w:spacing w:before="100" w:beforeAutospacing="1" w:after="100" w:afterAutospacing="1"/>
      <w:textAlignment w:val="top"/>
    </w:pPr>
    <w:rPr>
      <w:rFonts w:ascii="Arial" w:hAnsi="Arial" w:cs="Arial"/>
      <w:sz w:val="14"/>
      <w:szCs w:val="14"/>
      <w:lang w:eastAsia="en-NZ"/>
    </w:rPr>
  </w:style>
  <w:style w:type="paragraph" w:customStyle="1" w:styleId="xl90">
    <w:name w:val="xl90"/>
    <w:basedOn w:val="Normal"/>
    <w:rsid w:val="00417122"/>
    <w:pPr>
      <w:spacing w:before="100" w:beforeAutospacing="1" w:after="100" w:afterAutospacing="1"/>
      <w:ind w:firstLineChars="100" w:firstLine="100"/>
    </w:pPr>
    <w:rPr>
      <w:rFonts w:ascii="Arial" w:hAnsi="Arial" w:cs="Arial"/>
      <w:sz w:val="14"/>
      <w:szCs w:val="14"/>
      <w:lang w:eastAsia="en-NZ"/>
    </w:rPr>
  </w:style>
  <w:style w:type="paragraph" w:customStyle="1" w:styleId="xl91">
    <w:name w:val="xl91"/>
    <w:basedOn w:val="Normal"/>
    <w:rsid w:val="00417122"/>
    <w:pPr>
      <w:spacing w:before="100" w:beforeAutospacing="1" w:after="100" w:afterAutospacing="1"/>
      <w:ind w:firstLineChars="100" w:firstLine="100"/>
      <w:jc w:val="right"/>
    </w:pPr>
    <w:rPr>
      <w:rFonts w:ascii="Arial" w:hAnsi="Arial" w:cs="Arial"/>
      <w:sz w:val="14"/>
      <w:szCs w:val="14"/>
      <w:lang w:eastAsia="en-NZ"/>
    </w:rPr>
  </w:style>
  <w:style w:type="paragraph" w:customStyle="1" w:styleId="xl92">
    <w:name w:val="xl92"/>
    <w:basedOn w:val="Normal"/>
    <w:rsid w:val="00417122"/>
    <w:pPr>
      <w:pBdr>
        <w:right w:val="single" w:sz="4" w:space="0" w:color="3366FF"/>
      </w:pBdr>
      <w:spacing w:before="100" w:beforeAutospacing="1" w:after="100" w:afterAutospacing="1"/>
      <w:jc w:val="right"/>
    </w:pPr>
    <w:rPr>
      <w:rFonts w:ascii="Arial" w:hAnsi="Arial" w:cs="Arial"/>
      <w:color w:val="000000"/>
      <w:sz w:val="14"/>
      <w:szCs w:val="14"/>
      <w:lang w:eastAsia="en-NZ"/>
    </w:rPr>
  </w:style>
  <w:style w:type="paragraph" w:customStyle="1" w:styleId="xl93">
    <w:name w:val="xl93"/>
    <w:basedOn w:val="Normal"/>
    <w:rsid w:val="00417122"/>
    <w:pPr>
      <w:spacing w:before="100" w:beforeAutospacing="1" w:after="100" w:afterAutospacing="1"/>
      <w:jc w:val="right"/>
    </w:pPr>
    <w:rPr>
      <w:rFonts w:ascii="Arial" w:hAnsi="Arial" w:cs="Arial"/>
      <w:color w:val="FF0000"/>
      <w:sz w:val="14"/>
      <w:szCs w:val="14"/>
      <w:lang w:eastAsia="en-NZ"/>
    </w:rPr>
  </w:style>
  <w:style w:type="paragraph" w:customStyle="1" w:styleId="xl94">
    <w:name w:val="xl94"/>
    <w:basedOn w:val="Normal"/>
    <w:rsid w:val="00417122"/>
    <w:pPr>
      <w:pBdr>
        <w:top w:val="single" w:sz="4" w:space="0" w:color="3366FF"/>
        <w:bottom w:val="single" w:sz="4" w:space="0" w:color="3366FF"/>
      </w:pBdr>
      <w:spacing w:before="100" w:beforeAutospacing="1" w:after="100" w:afterAutospacing="1"/>
      <w:jc w:val="right"/>
    </w:pPr>
    <w:rPr>
      <w:rFonts w:ascii="Arial" w:hAnsi="Arial" w:cs="Arial"/>
      <w:sz w:val="14"/>
      <w:szCs w:val="14"/>
      <w:lang w:eastAsia="en-NZ"/>
    </w:rPr>
  </w:style>
  <w:style w:type="paragraph" w:customStyle="1" w:styleId="xl95">
    <w:name w:val="xl95"/>
    <w:basedOn w:val="Normal"/>
    <w:rsid w:val="00417122"/>
    <w:pPr>
      <w:spacing w:before="100" w:beforeAutospacing="1" w:after="100" w:afterAutospacing="1"/>
      <w:jc w:val="right"/>
    </w:pPr>
    <w:rPr>
      <w:rFonts w:ascii="Arial" w:hAnsi="Arial" w:cs="Arial"/>
      <w:sz w:val="14"/>
      <w:szCs w:val="14"/>
      <w:lang w:eastAsia="en-NZ"/>
    </w:rPr>
  </w:style>
  <w:style w:type="paragraph" w:customStyle="1" w:styleId="xl96">
    <w:name w:val="xl96"/>
    <w:basedOn w:val="Normal"/>
    <w:rsid w:val="00417122"/>
    <w:pPr>
      <w:spacing w:before="100" w:beforeAutospacing="1" w:after="100" w:afterAutospacing="1"/>
      <w:jc w:val="right"/>
    </w:pPr>
    <w:rPr>
      <w:rFonts w:ascii="Arial" w:hAnsi="Arial" w:cs="Arial"/>
      <w:sz w:val="14"/>
      <w:szCs w:val="14"/>
      <w:lang w:eastAsia="en-NZ"/>
    </w:rPr>
  </w:style>
  <w:style w:type="paragraph" w:customStyle="1" w:styleId="xl97">
    <w:name w:val="xl97"/>
    <w:basedOn w:val="Normal"/>
    <w:rsid w:val="00417122"/>
    <w:pPr>
      <w:spacing w:before="100" w:beforeAutospacing="1" w:after="100" w:afterAutospacing="1"/>
      <w:jc w:val="right"/>
    </w:pPr>
    <w:rPr>
      <w:rFonts w:ascii="Arial" w:hAnsi="Arial" w:cs="Arial"/>
      <w:color w:val="FF0000"/>
      <w:sz w:val="14"/>
      <w:szCs w:val="14"/>
      <w:lang w:eastAsia="en-NZ"/>
    </w:rPr>
  </w:style>
  <w:style w:type="paragraph" w:customStyle="1" w:styleId="xl98">
    <w:name w:val="xl98"/>
    <w:basedOn w:val="Normal"/>
    <w:rsid w:val="00417122"/>
    <w:pPr>
      <w:spacing w:before="100" w:beforeAutospacing="1" w:after="100" w:afterAutospacing="1"/>
      <w:jc w:val="right"/>
    </w:pPr>
    <w:rPr>
      <w:rFonts w:ascii="Arial" w:hAnsi="Arial" w:cs="Arial"/>
      <w:color w:val="FF0000"/>
      <w:sz w:val="14"/>
      <w:szCs w:val="14"/>
      <w:lang w:eastAsia="en-NZ"/>
    </w:rPr>
  </w:style>
  <w:style w:type="paragraph" w:customStyle="1" w:styleId="xl99">
    <w:name w:val="xl99"/>
    <w:basedOn w:val="Normal"/>
    <w:rsid w:val="00417122"/>
    <w:pPr>
      <w:spacing w:before="100" w:beforeAutospacing="1" w:after="100" w:afterAutospacing="1"/>
      <w:jc w:val="right"/>
    </w:pPr>
    <w:rPr>
      <w:rFonts w:ascii="Arial" w:hAnsi="Arial" w:cs="Arial"/>
      <w:sz w:val="14"/>
      <w:szCs w:val="14"/>
      <w:lang w:eastAsia="en-NZ"/>
    </w:rPr>
  </w:style>
  <w:style w:type="paragraph" w:customStyle="1" w:styleId="xl100">
    <w:name w:val="xl100"/>
    <w:basedOn w:val="Normal"/>
    <w:rsid w:val="00417122"/>
    <w:pPr>
      <w:pBdr>
        <w:left w:val="single" w:sz="4" w:space="0" w:color="0070C0"/>
      </w:pBdr>
      <w:spacing w:before="100" w:beforeAutospacing="1" w:after="100" w:afterAutospacing="1"/>
      <w:textAlignment w:val="center"/>
    </w:pPr>
    <w:rPr>
      <w:rFonts w:ascii="Arial" w:hAnsi="Arial" w:cs="Arial"/>
      <w:b/>
      <w:bCs/>
      <w:sz w:val="14"/>
      <w:szCs w:val="14"/>
      <w:lang w:eastAsia="en-NZ"/>
    </w:rPr>
  </w:style>
  <w:style w:type="paragraph" w:customStyle="1" w:styleId="xl101">
    <w:name w:val="xl101"/>
    <w:basedOn w:val="Normal"/>
    <w:rsid w:val="00417122"/>
    <w:pPr>
      <w:pBdr>
        <w:left w:val="single" w:sz="4" w:space="0" w:color="0070C0"/>
      </w:pBdr>
      <w:spacing w:before="100" w:beforeAutospacing="1" w:after="100" w:afterAutospacing="1"/>
    </w:pPr>
    <w:rPr>
      <w:rFonts w:ascii="Arial" w:hAnsi="Arial" w:cs="Arial"/>
      <w:sz w:val="14"/>
      <w:szCs w:val="14"/>
      <w:lang w:eastAsia="en-NZ"/>
    </w:rPr>
  </w:style>
  <w:style w:type="paragraph" w:customStyle="1" w:styleId="xl102">
    <w:name w:val="xl102"/>
    <w:basedOn w:val="Normal"/>
    <w:rsid w:val="00417122"/>
    <w:pPr>
      <w:pBdr>
        <w:right w:val="single" w:sz="4" w:space="0" w:color="0070C0"/>
      </w:pBdr>
      <w:spacing w:before="100" w:beforeAutospacing="1" w:after="100" w:afterAutospacing="1"/>
      <w:jc w:val="right"/>
    </w:pPr>
    <w:rPr>
      <w:rFonts w:ascii="Arial" w:hAnsi="Arial" w:cs="Arial"/>
      <w:sz w:val="14"/>
      <w:szCs w:val="14"/>
      <w:lang w:eastAsia="en-NZ"/>
    </w:rPr>
  </w:style>
  <w:style w:type="paragraph" w:customStyle="1" w:styleId="xl103">
    <w:name w:val="xl103"/>
    <w:basedOn w:val="Normal"/>
    <w:rsid w:val="00417122"/>
    <w:pPr>
      <w:pBdr>
        <w:left w:val="single" w:sz="4" w:space="0" w:color="0070C0"/>
      </w:pBdr>
      <w:spacing w:before="100" w:beforeAutospacing="1" w:after="100" w:afterAutospacing="1"/>
    </w:pPr>
    <w:rPr>
      <w:rFonts w:ascii="Arial" w:hAnsi="Arial" w:cs="Arial"/>
      <w:b/>
      <w:bCs/>
      <w:sz w:val="14"/>
      <w:szCs w:val="14"/>
      <w:lang w:eastAsia="en-NZ"/>
    </w:rPr>
  </w:style>
  <w:style w:type="paragraph" w:customStyle="1" w:styleId="xl104">
    <w:name w:val="xl104"/>
    <w:basedOn w:val="Normal"/>
    <w:rsid w:val="00417122"/>
    <w:pPr>
      <w:spacing w:before="100" w:beforeAutospacing="1" w:after="100" w:afterAutospacing="1"/>
      <w:jc w:val="center"/>
      <w:textAlignment w:val="top"/>
    </w:pPr>
    <w:rPr>
      <w:rFonts w:ascii="Arial" w:hAnsi="Arial" w:cs="Arial"/>
      <w:sz w:val="14"/>
      <w:szCs w:val="14"/>
      <w:lang w:eastAsia="en-NZ"/>
    </w:rPr>
  </w:style>
  <w:style w:type="paragraph" w:customStyle="1" w:styleId="xl105">
    <w:name w:val="xl105"/>
    <w:basedOn w:val="Normal"/>
    <w:rsid w:val="00417122"/>
    <w:pPr>
      <w:pBdr>
        <w:left w:val="single" w:sz="4" w:space="0" w:color="0070C0"/>
      </w:pBdr>
      <w:spacing w:before="100" w:beforeAutospacing="1" w:after="100" w:afterAutospacing="1"/>
    </w:pPr>
    <w:rPr>
      <w:rFonts w:ascii="Arial" w:hAnsi="Arial" w:cs="Arial"/>
      <w:b/>
      <w:bCs/>
      <w:sz w:val="14"/>
      <w:szCs w:val="14"/>
      <w:lang w:eastAsia="en-NZ"/>
    </w:rPr>
  </w:style>
  <w:style w:type="paragraph" w:customStyle="1" w:styleId="xl106">
    <w:name w:val="xl106"/>
    <w:basedOn w:val="Normal"/>
    <w:rsid w:val="00417122"/>
    <w:pPr>
      <w:pBdr>
        <w:right w:val="single" w:sz="4" w:space="0" w:color="0070C0"/>
      </w:pBdr>
      <w:spacing w:before="100" w:beforeAutospacing="1" w:after="100" w:afterAutospacing="1"/>
      <w:jc w:val="center"/>
      <w:textAlignment w:val="top"/>
    </w:pPr>
    <w:rPr>
      <w:rFonts w:ascii="Arial" w:hAnsi="Arial" w:cs="Arial"/>
      <w:sz w:val="14"/>
      <w:szCs w:val="14"/>
      <w:lang w:eastAsia="en-NZ"/>
    </w:rPr>
  </w:style>
  <w:style w:type="paragraph" w:customStyle="1" w:styleId="xl107">
    <w:name w:val="xl107"/>
    <w:basedOn w:val="Normal"/>
    <w:rsid w:val="00417122"/>
    <w:pPr>
      <w:pBdr>
        <w:right w:val="single" w:sz="4" w:space="9" w:color="0070C0"/>
      </w:pBdr>
      <w:spacing w:before="100" w:beforeAutospacing="1" w:after="100" w:afterAutospacing="1"/>
      <w:ind w:firstLineChars="100" w:firstLine="100"/>
      <w:jc w:val="right"/>
    </w:pPr>
    <w:rPr>
      <w:rFonts w:ascii="Arial" w:hAnsi="Arial" w:cs="Arial"/>
      <w:sz w:val="14"/>
      <w:szCs w:val="14"/>
      <w:lang w:eastAsia="en-NZ"/>
    </w:rPr>
  </w:style>
  <w:style w:type="paragraph" w:customStyle="1" w:styleId="xl108">
    <w:name w:val="xl108"/>
    <w:basedOn w:val="Normal"/>
    <w:rsid w:val="00417122"/>
    <w:pPr>
      <w:pBdr>
        <w:top w:val="single" w:sz="4" w:space="0" w:color="3366FF"/>
        <w:left w:val="single" w:sz="4" w:space="0" w:color="0070C0"/>
        <w:bottom w:val="single" w:sz="4" w:space="0" w:color="3366FF"/>
      </w:pBdr>
      <w:spacing w:before="100" w:beforeAutospacing="1" w:after="100" w:afterAutospacing="1"/>
    </w:pPr>
    <w:rPr>
      <w:rFonts w:ascii="Arial" w:hAnsi="Arial" w:cs="Arial"/>
      <w:sz w:val="14"/>
      <w:szCs w:val="14"/>
      <w:lang w:eastAsia="en-NZ"/>
    </w:rPr>
  </w:style>
  <w:style w:type="paragraph" w:customStyle="1" w:styleId="xl109">
    <w:name w:val="xl109"/>
    <w:basedOn w:val="Normal"/>
    <w:rsid w:val="00417122"/>
    <w:pPr>
      <w:pBdr>
        <w:top w:val="single" w:sz="4" w:space="0" w:color="3366FF"/>
        <w:bottom w:val="single" w:sz="4" w:space="0" w:color="3366FF"/>
        <w:right w:val="single" w:sz="4" w:space="0" w:color="0070C0"/>
      </w:pBdr>
      <w:spacing w:before="100" w:beforeAutospacing="1" w:after="100" w:afterAutospacing="1"/>
      <w:jc w:val="right"/>
    </w:pPr>
    <w:rPr>
      <w:rFonts w:ascii="Arial" w:hAnsi="Arial" w:cs="Arial"/>
      <w:sz w:val="14"/>
      <w:szCs w:val="14"/>
      <w:lang w:eastAsia="en-NZ"/>
    </w:rPr>
  </w:style>
  <w:style w:type="paragraph" w:customStyle="1" w:styleId="xl110">
    <w:name w:val="xl110"/>
    <w:basedOn w:val="Normal"/>
    <w:rsid w:val="00417122"/>
    <w:pPr>
      <w:pBdr>
        <w:right w:val="single" w:sz="4" w:space="0" w:color="0070C0"/>
      </w:pBdr>
      <w:spacing w:before="100" w:beforeAutospacing="1" w:after="100" w:afterAutospacing="1"/>
    </w:pPr>
    <w:rPr>
      <w:rFonts w:ascii="Arial" w:hAnsi="Arial" w:cs="Arial"/>
      <w:sz w:val="14"/>
      <w:szCs w:val="14"/>
      <w:lang w:eastAsia="en-NZ"/>
    </w:rPr>
  </w:style>
  <w:style w:type="paragraph" w:customStyle="1" w:styleId="xl111">
    <w:name w:val="xl111"/>
    <w:basedOn w:val="Normal"/>
    <w:rsid w:val="00417122"/>
    <w:pPr>
      <w:pBdr>
        <w:right w:val="single" w:sz="4" w:space="0" w:color="0070C0"/>
      </w:pBdr>
      <w:spacing w:before="100" w:beforeAutospacing="1" w:after="100" w:afterAutospacing="1"/>
      <w:jc w:val="right"/>
    </w:pPr>
    <w:rPr>
      <w:rFonts w:ascii="Arial" w:hAnsi="Arial" w:cs="Arial"/>
      <w:sz w:val="14"/>
      <w:szCs w:val="14"/>
      <w:lang w:eastAsia="en-NZ"/>
    </w:rPr>
  </w:style>
  <w:style w:type="paragraph" w:customStyle="1" w:styleId="xl112">
    <w:name w:val="xl112"/>
    <w:basedOn w:val="Normal"/>
    <w:rsid w:val="00417122"/>
    <w:pPr>
      <w:pBdr>
        <w:top w:val="single" w:sz="4" w:space="0" w:color="0070C0"/>
        <w:left w:val="single" w:sz="4" w:space="0" w:color="0070C0"/>
      </w:pBdr>
      <w:spacing w:before="100" w:beforeAutospacing="1" w:after="100" w:afterAutospacing="1"/>
      <w:textAlignment w:val="center"/>
    </w:pPr>
    <w:rPr>
      <w:rFonts w:ascii="Arial" w:hAnsi="Arial" w:cs="Arial"/>
      <w:b/>
      <w:bCs/>
      <w:sz w:val="18"/>
      <w:szCs w:val="18"/>
      <w:lang w:eastAsia="en-NZ"/>
    </w:rPr>
  </w:style>
  <w:style w:type="paragraph" w:customStyle="1" w:styleId="xl113">
    <w:name w:val="xl113"/>
    <w:basedOn w:val="Normal"/>
    <w:rsid w:val="00417122"/>
    <w:pPr>
      <w:pBdr>
        <w:top w:val="single" w:sz="4" w:space="0" w:color="0070C0"/>
      </w:pBdr>
      <w:spacing w:before="100" w:beforeAutospacing="1" w:after="100" w:afterAutospacing="1"/>
      <w:textAlignment w:val="center"/>
    </w:pPr>
    <w:rPr>
      <w:rFonts w:ascii="Arial" w:hAnsi="Arial" w:cs="Arial"/>
      <w:b/>
      <w:bCs/>
      <w:sz w:val="18"/>
      <w:szCs w:val="18"/>
      <w:lang w:eastAsia="en-NZ"/>
    </w:rPr>
  </w:style>
  <w:style w:type="paragraph" w:customStyle="1" w:styleId="xl114">
    <w:name w:val="xl114"/>
    <w:basedOn w:val="Normal"/>
    <w:rsid w:val="00417122"/>
    <w:pPr>
      <w:pBdr>
        <w:top w:val="single" w:sz="4" w:space="0" w:color="0070C0"/>
        <w:right w:val="single" w:sz="4" w:space="0" w:color="0070C0"/>
      </w:pBdr>
      <w:spacing w:before="100" w:beforeAutospacing="1" w:after="100" w:afterAutospacing="1"/>
      <w:textAlignment w:val="center"/>
    </w:pPr>
    <w:rPr>
      <w:rFonts w:ascii="Arial" w:hAnsi="Arial" w:cs="Arial"/>
      <w:b/>
      <w:bCs/>
      <w:sz w:val="18"/>
      <w:szCs w:val="18"/>
      <w:lang w:eastAsia="en-NZ"/>
    </w:rPr>
  </w:style>
  <w:style w:type="paragraph" w:customStyle="1" w:styleId="xl115">
    <w:name w:val="xl115"/>
    <w:basedOn w:val="Normal"/>
    <w:rsid w:val="00417122"/>
    <w:pPr>
      <w:pBdr>
        <w:left w:val="single" w:sz="4" w:space="0" w:color="0070C0"/>
        <w:bottom w:val="single" w:sz="4" w:space="0" w:color="0070C0"/>
      </w:pBdr>
      <w:spacing w:before="100" w:beforeAutospacing="1" w:after="100" w:afterAutospacing="1"/>
      <w:textAlignment w:val="top"/>
    </w:pPr>
    <w:rPr>
      <w:rFonts w:ascii="Arial" w:hAnsi="Arial" w:cs="Arial"/>
      <w:sz w:val="14"/>
      <w:szCs w:val="14"/>
      <w:lang w:eastAsia="en-NZ"/>
    </w:rPr>
  </w:style>
  <w:style w:type="paragraph" w:customStyle="1" w:styleId="xl116">
    <w:name w:val="xl116"/>
    <w:basedOn w:val="Normal"/>
    <w:rsid w:val="00417122"/>
    <w:pPr>
      <w:pBdr>
        <w:left w:val="single" w:sz="4" w:space="0" w:color="0070C0"/>
      </w:pBdr>
      <w:spacing w:before="100" w:beforeAutospacing="1" w:after="100" w:afterAutospacing="1"/>
      <w:textAlignment w:val="top"/>
    </w:pPr>
    <w:rPr>
      <w:rFonts w:ascii="Arial" w:hAnsi="Arial" w:cs="Arial"/>
      <w:sz w:val="14"/>
      <w:szCs w:val="14"/>
      <w:lang w:eastAsia="en-NZ"/>
    </w:rPr>
  </w:style>
  <w:style w:type="paragraph" w:customStyle="1" w:styleId="xl117">
    <w:name w:val="xl117"/>
    <w:basedOn w:val="Normal"/>
    <w:rsid w:val="00417122"/>
    <w:pPr>
      <w:spacing w:before="100" w:beforeAutospacing="1" w:after="100" w:afterAutospacing="1"/>
      <w:textAlignment w:val="top"/>
    </w:pPr>
    <w:rPr>
      <w:rFonts w:ascii="Arial" w:hAnsi="Arial" w:cs="Arial"/>
      <w:sz w:val="14"/>
      <w:szCs w:val="14"/>
      <w:lang w:eastAsia="en-NZ"/>
    </w:rPr>
  </w:style>
  <w:style w:type="paragraph" w:customStyle="1" w:styleId="xl118">
    <w:name w:val="xl118"/>
    <w:basedOn w:val="Normal"/>
    <w:rsid w:val="00417122"/>
    <w:pPr>
      <w:pBdr>
        <w:right w:val="single" w:sz="4" w:space="0" w:color="0070C0"/>
      </w:pBdr>
      <w:spacing w:before="100" w:beforeAutospacing="1" w:after="100" w:afterAutospacing="1"/>
      <w:textAlignment w:val="top"/>
    </w:pPr>
    <w:rPr>
      <w:rFonts w:ascii="Arial" w:hAnsi="Arial" w:cs="Arial"/>
      <w:sz w:val="14"/>
      <w:szCs w:val="14"/>
      <w:lang w:eastAsia="en-NZ"/>
    </w:rPr>
  </w:style>
  <w:style w:type="paragraph" w:customStyle="1" w:styleId="xl119">
    <w:name w:val="xl119"/>
    <w:basedOn w:val="Normal"/>
    <w:rsid w:val="00417122"/>
    <w:pPr>
      <w:spacing w:before="100" w:beforeAutospacing="1" w:after="100" w:afterAutospacing="1"/>
      <w:jc w:val="center"/>
      <w:textAlignment w:val="center"/>
    </w:pPr>
    <w:rPr>
      <w:rFonts w:ascii="Arial" w:hAnsi="Arial" w:cs="Arial"/>
      <w:b/>
      <w:bCs/>
      <w:sz w:val="14"/>
      <w:szCs w:val="14"/>
      <w:lang w:eastAsia="en-NZ"/>
    </w:rPr>
  </w:style>
  <w:style w:type="paragraph" w:customStyle="1" w:styleId="xl120">
    <w:name w:val="xl120"/>
    <w:basedOn w:val="Normal"/>
    <w:rsid w:val="00417122"/>
    <w:pPr>
      <w:pBdr>
        <w:right w:val="single" w:sz="4" w:space="0" w:color="3366FF"/>
      </w:pBdr>
      <w:spacing w:before="100" w:beforeAutospacing="1" w:after="100" w:afterAutospacing="1"/>
      <w:jc w:val="center"/>
      <w:textAlignment w:val="center"/>
    </w:pPr>
    <w:rPr>
      <w:rFonts w:ascii="Arial" w:hAnsi="Arial" w:cs="Arial"/>
      <w:b/>
      <w:bCs/>
      <w:sz w:val="14"/>
      <w:szCs w:val="14"/>
      <w:lang w:eastAsia="en-NZ"/>
    </w:rPr>
  </w:style>
  <w:style w:type="paragraph" w:customStyle="1" w:styleId="xl121">
    <w:name w:val="xl121"/>
    <w:basedOn w:val="Normal"/>
    <w:rsid w:val="00417122"/>
    <w:pPr>
      <w:pBdr>
        <w:right w:val="single" w:sz="4" w:space="0" w:color="0070C0"/>
      </w:pBdr>
      <w:spacing w:before="100" w:beforeAutospacing="1" w:after="100" w:afterAutospacing="1"/>
      <w:jc w:val="center"/>
      <w:textAlignment w:val="center"/>
    </w:pPr>
    <w:rPr>
      <w:rFonts w:ascii="Arial" w:hAnsi="Arial" w:cs="Arial"/>
      <w:b/>
      <w:bCs/>
      <w:sz w:val="14"/>
      <w:szCs w:val="14"/>
      <w:lang w:eastAsia="en-NZ"/>
    </w:rPr>
  </w:style>
  <w:style w:type="paragraph" w:customStyle="1" w:styleId="xl122">
    <w:name w:val="xl122"/>
    <w:basedOn w:val="Normal"/>
    <w:rsid w:val="00417122"/>
    <w:pPr>
      <w:pBdr>
        <w:top w:val="single" w:sz="4" w:space="0" w:color="3366FF"/>
        <w:left w:val="single" w:sz="4" w:space="0" w:color="0070C0"/>
        <w:bottom w:val="single" w:sz="4" w:space="0" w:color="3366FF"/>
      </w:pBdr>
      <w:spacing w:before="100" w:beforeAutospacing="1" w:after="100" w:afterAutospacing="1"/>
      <w:jc w:val="center"/>
    </w:pPr>
    <w:rPr>
      <w:rFonts w:ascii="Arial" w:hAnsi="Arial" w:cs="Arial"/>
      <w:sz w:val="14"/>
      <w:szCs w:val="14"/>
      <w:lang w:eastAsia="en-NZ"/>
    </w:rPr>
  </w:style>
  <w:style w:type="paragraph" w:customStyle="1" w:styleId="xl123">
    <w:name w:val="xl123"/>
    <w:basedOn w:val="Normal"/>
    <w:rsid w:val="00417122"/>
    <w:pPr>
      <w:pBdr>
        <w:top w:val="single" w:sz="4" w:space="0" w:color="3366FF"/>
        <w:bottom w:val="single" w:sz="4" w:space="0" w:color="3366FF"/>
      </w:pBdr>
      <w:spacing w:before="100" w:beforeAutospacing="1" w:after="100" w:afterAutospacing="1"/>
      <w:jc w:val="center"/>
    </w:pPr>
    <w:rPr>
      <w:rFonts w:ascii="Arial" w:hAnsi="Arial" w:cs="Arial"/>
      <w:sz w:val="14"/>
      <w:szCs w:val="14"/>
      <w:lang w:eastAsia="en-NZ"/>
    </w:rPr>
  </w:style>
  <w:style w:type="paragraph" w:customStyle="1" w:styleId="xl124">
    <w:name w:val="xl124"/>
    <w:basedOn w:val="Normal"/>
    <w:rsid w:val="00417122"/>
    <w:pPr>
      <w:pBdr>
        <w:top w:val="single" w:sz="4" w:space="0" w:color="3366FF"/>
        <w:bottom w:val="single" w:sz="4" w:space="0" w:color="3366FF"/>
        <w:right w:val="single" w:sz="4" w:space="0" w:color="0070C0"/>
      </w:pBdr>
      <w:spacing w:before="100" w:beforeAutospacing="1" w:after="100" w:afterAutospacing="1"/>
      <w:jc w:val="center"/>
    </w:pPr>
    <w:rPr>
      <w:rFonts w:ascii="Arial" w:hAnsi="Arial" w:cs="Arial"/>
      <w:sz w:val="14"/>
      <w:szCs w:val="14"/>
      <w:lang w:eastAsia="en-NZ"/>
    </w:rPr>
  </w:style>
  <w:style w:type="paragraph" w:customStyle="1" w:styleId="xl125">
    <w:name w:val="xl125"/>
    <w:basedOn w:val="Normal"/>
    <w:rsid w:val="00417122"/>
    <w:pPr>
      <w:pBdr>
        <w:bottom w:val="single" w:sz="4" w:space="0" w:color="0070C0"/>
      </w:pBdr>
      <w:spacing w:before="100" w:beforeAutospacing="1" w:after="100" w:afterAutospacing="1"/>
      <w:textAlignment w:val="top"/>
    </w:pPr>
    <w:rPr>
      <w:rFonts w:ascii="Arial" w:hAnsi="Arial" w:cs="Arial"/>
      <w:sz w:val="14"/>
      <w:szCs w:val="14"/>
      <w:lang w:eastAsia="en-NZ"/>
    </w:rPr>
  </w:style>
  <w:style w:type="paragraph" w:customStyle="1" w:styleId="xl126">
    <w:name w:val="xl126"/>
    <w:basedOn w:val="Normal"/>
    <w:rsid w:val="00417122"/>
    <w:pPr>
      <w:pBdr>
        <w:bottom w:val="single" w:sz="4" w:space="0" w:color="0070C0"/>
        <w:right w:val="single" w:sz="4" w:space="0" w:color="0070C0"/>
      </w:pBdr>
      <w:spacing w:before="100" w:beforeAutospacing="1" w:after="100" w:afterAutospacing="1"/>
      <w:textAlignment w:val="top"/>
    </w:pPr>
    <w:rPr>
      <w:rFonts w:ascii="Arial" w:hAnsi="Arial" w:cs="Arial"/>
      <w:sz w:val="14"/>
      <w:szCs w:val="14"/>
      <w:lang w:eastAsia="en-NZ"/>
    </w:rPr>
  </w:style>
  <w:style w:type="character" w:customStyle="1" w:styleId="Heading1Char">
    <w:name w:val="Heading 1 Char"/>
    <w:basedOn w:val="DefaultParagraphFont"/>
    <w:link w:val="Heading1"/>
    <w:rsid w:val="007333AE"/>
    <w:rPr>
      <w:rFonts w:ascii="Arial" w:hAnsi="Arial"/>
      <w:caps/>
      <w:sz w:val="32"/>
      <w:szCs w:val="24"/>
      <w:lang w:eastAsia="en-US"/>
    </w:rPr>
  </w:style>
  <w:style w:type="character" w:customStyle="1" w:styleId="Heading2Char">
    <w:name w:val="Heading 2 Char"/>
    <w:basedOn w:val="DefaultParagraphFont"/>
    <w:link w:val="Heading2"/>
    <w:rsid w:val="007333AE"/>
    <w:rPr>
      <w:rFonts w:ascii="Arial" w:hAnsi="Arial"/>
      <w:sz w:val="28"/>
      <w:szCs w:val="28"/>
      <w:lang w:eastAsia="en-US"/>
    </w:rPr>
  </w:style>
  <w:style w:type="paragraph" w:customStyle="1" w:styleId="MemoAddresseDetails">
    <w:name w:val="MemoAddresseDetails"/>
    <w:basedOn w:val="Normal"/>
    <w:rsid w:val="007333AE"/>
    <w:pPr>
      <w:spacing w:before="60" w:after="60" w:line="280" w:lineRule="exact"/>
    </w:pPr>
    <w:rPr>
      <w:rFonts w:ascii="Arial" w:hAnsi="Arial"/>
      <w:sz w:val="24"/>
      <w:szCs w:val="20"/>
    </w:rPr>
  </w:style>
  <w:style w:type="character" w:styleId="FollowedHyperlink">
    <w:name w:val="FollowedHyperlink"/>
    <w:basedOn w:val="DefaultParagraphFont"/>
    <w:uiPriority w:val="99"/>
    <w:unhideWhenUsed/>
    <w:rsid w:val="007333AE"/>
    <w:rPr>
      <w:color w:val="800080"/>
      <w:u w:val="single"/>
    </w:rPr>
  </w:style>
  <w:style w:type="character" w:customStyle="1" w:styleId="FooterChar">
    <w:name w:val="Footer Char"/>
    <w:basedOn w:val="DefaultParagraphFont"/>
    <w:link w:val="Footer"/>
    <w:uiPriority w:val="99"/>
    <w:rsid w:val="00446520"/>
    <w:rPr>
      <w:sz w:val="22"/>
      <w:szCs w:val="24"/>
      <w:lang w:eastAsia="en-US"/>
    </w:rPr>
  </w:style>
  <w:style w:type="paragraph" w:customStyle="1" w:styleId="TRBodyText">
    <w:name w:val="_TRBody Text"/>
    <w:rsid w:val="00CA0E2A"/>
    <w:rPr>
      <w:rFonts w:ascii="Arial" w:hAnsi="Arial"/>
      <w:sz w:val="22"/>
      <w:lang w:eastAsia="en-US"/>
    </w:rPr>
  </w:style>
  <w:style w:type="paragraph" w:customStyle="1" w:styleId="TRNormal">
    <w:name w:val="_TRNormal"/>
    <w:rsid w:val="007B6819"/>
    <w:pPr>
      <w:ind w:left="567" w:hanging="567"/>
    </w:pPr>
    <w:rPr>
      <w:rFonts w:ascii="Arial" w:hAnsi="Arial"/>
      <w:sz w:val="22"/>
      <w:lang w:eastAsia="en-US"/>
    </w:rPr>
  </w:style>
</w:styles>
</file>

<file path=word/webSettings.xml><?xml version="1.0" encoding="utf-8"?>
<w:webSettings xmlns:r="http://schemas.openxmlformats.org/officeDocument/2006/relationships" xmlns:w="http://schemas.openxmlformats.org/wordprocessingml/2006/main">
  <w:divs>
    <w:div w:id="743064866">
      <w:bodyDiv w:val="1"/>
      <w:marLeft w:val="0"/>
      <w:marRight w:val="0"/>
      <w:marTop w:val="0"/>
      <w:marBottom w:val="0"/>
      <w:divBdr>
        <w:top w:val="none" w:sz="0" w:space="0" w:color="auto"/>
        <w:left w:val="none" w:sz="0" w:space="0" w:color="auto"/>
        <w:bottom w:val="none" w:sz="0" w:space="0" w:color="auto"/>
        <w:right w:val="none" w:sz="0" w:space="0" w:color="auto"/>
      </w:divBdr>
    </w:div>
    <w:div w:id="1499033188">
      <w:bodyDiv w:val="1"/>
      <w:marLeft w:val="0"/>
      <w:marRight w:val="0"/>
      <w:marTop w:val="0"/>
      <w:marBottom w:val="0"/>
      <w:divBdr>
        <w:top w:val="none" w:sz="0" w:space="0" w:color="auto"/>
        <w:left w:val="none" w:sz="0" w:space="0" w:color="auto"/>
        <w:bottom w:val="none" w:sz="0" w:space="0" w:color="auto"/>
        <w:right w:val="none" w:sz="0" w:space="0" w:color="auto"/>
      </w:divBdr>
    </w:div>
    <w:div w:id="1578050977">
      <w:bodyDiv w:val="1"/>
      <w:marLeft w:val="0"/>
      <w:marRight w:val="0"/>
      <w:marTop w:val="0"/>
      <w:marBottom w:val="0"/>
      <w:divBdr>
        <w:top w:val="none" w:sz="0" w:space="0" w:color="auto"/>
        <w:left w:val="none" w:sz="0" w:space="0" w:color="auto"/>
        <w:bottom w:val="none" w:sz="0" w:space="0" w:color="auto"/>
        <w:right w:val="none" w:sz="0" w:space="0" w:color="auto"/>
      </w:divBdr>
    </w:div>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3.xml"/><Relationship Id="rId38"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footer" Target="footer3.xml"/><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4.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1.jpeg"/></Relationships>
</file>

<file path=word/_rels/header7.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23701-320B-447A-BE79-37F4114EA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10525</Words>
  <Characters>61461</Characters>
  <Application>Microsoft Office Word</Application>
  <DocSecurity>0</DocSecurity>
  <Lines>512</Lines>
  <Paragraphs>143</Paragraphs>
  <ScaleCrop>false</ScaleCrop>
  <HeadingPairs>
    <vt:vector size="2" baseType="variant">
      <vt:variant>
        <vt:lpstr>Title</vt:lpstr>
      </vt:variant>
      <vt:variant>
        <vt:i4>1</vt:i4>
      </vt:variant>
    </vt:vector>
  </HeadingPairs>
  <TitlesOfParts>
    <vt:vector size="1" baseType="lpstr">
      <vt:lpstr>Report</vt:lpstr>
    </vt:vector>
  </TitlesOfParts>
  <Company>Ministry of Education</Company>
  <LinksUpToDate>false</LinksUpToDate>
  <CharactersWithSpaces>71843</CharactersWithSpaces>
  <SharedDoc>false</SharedDoc>
  <HLinks>
    <vt:vector size="138" baseType="variant">
      <vt:variant>
        <vt:i4>1441853</vt:i4>
      </vt:variant>
      <vt:variant>
        <vt:i4>140</vt:i4>
      </vt:variant>
      <vt:variant>
        <vt:i4>0</vt:i4>
      </vt:variant>
      <vt:variant>
        <vt:i4>5</vt:i4>
      </vt:variant>
      <vt:variant>
        <vt:lpwstr/>
      </vt:variant>
      <vt:variant>
        <vt:lpwstr>_Toc229818731</vt:lpwstr>
      </vt:variant>
      <vt:variant>
        <vt:i4>1441853</vt:i4>
      </vt:variant>
      <vt:variant>
        <vt:i4>134</vt:i4>
      </vt:variant>
      <vt:variant>
        <vt:i4>0</vt:i4>
      </vt:variant>
      <vt:variant>
        <vt:i4>5</vt:i4>
      </vt:variant>
      <vt:variant>
        <vt:lpwstr/>
      </vt:variant>
      <vt:variant>
        <vt:lpwstr>_Toc229818730</vt:lpwstr>
      </vt:variant>
      <vt:variant>
        <vt:i4>1507389</vt:i4>
      </vt:variant>
      <vt:variant>
        <vt:i4>128</vt:i4>
      </vt:variant>
      <vt:variant>
        <vt:i4>0</vt:i4>
      </vt:variant>
      <vt:variant>
        <vt:i4>5</vt:i4>
      </vt:variant>
      <vt:variant>
        <vt:lpwstr/>
      </vt:variant>
      <vt:variant>
        <vt:lpwstr>_Toc229818729</vt:lpwstr>
      </vt:variant>
      <vt:variant>
        <vt:i4>1507389</vt:i4>
      </vt:variant>
      <vt:variant>
        <vt:i4>122</vt:i4>
      </vt:variant>
      <vt:variant>
        <vt:i4>0</vt:i4>
      </vt:variant>
      <vt:variant>
        <vt:i4>5</vt:i4>
      </vt:variant>
      <vt:variant>
        <vt:lpwstr/>
      </vt:variant>
      <vt:variant>
        <vt:lpwstr>_Toc229818728</vt:lpwstr>
      </vt:variant>
      <vt:variant>
        <vt:i4>1507389</vt:i4>
      </vt:variant>
      <vt:variant>
        <vt:i4>116</vt:i4>
      </vt:variant>
      <vt:variant>
        <vt:i4>0</vt:i4>
      </vt:variant>
      <vt:variant>
        <vt:i4>5</vt:i4>
      </vt:variant>
      <vt:variant>
        <vt:lpwstr/>
      </vt:variant>
      <vt:variant>
        <vt:lpwstr>_Toc229818727</vt:lpwstr>
      </vt:variant>
      <vt:variant>
        <vt:i4>1507389</vt:i4>
      </vt:variant>
      <vt:variant>
        <vt:i4>107</vt:i4>
      </vt:variant>
      <vt:variant>
        <vt:i4>0</vt:i4>
      </vt:variant>
      <vt:variant>
        <vt:i4>5</vt:i4>
      </vt:variant>
      <vt:variant>
        <vt:lpwstr/>
      </vt:variant>
      <vt:variant>
        <vt:lpwstr>_Toc229818726</vt:lpwstr>
      </vt:variant>
      <vt:variant>
        <vt:i4>1638462</vt:i4>
      </vt:variant>
      <vt:variant>
        <vt:i4>98</vt:i4>
      </vt:variant>
      <vt:variant>
        <vt:i4>0</vt:i4>
      </vt:variant>
      <vt:variant>
        <vt:i4>5</vt:i4>
      </vt:variant>
      <vt:variant>
        <vt:lpwstr/>
      </vt:variant>
      <vt:variant>
        <vt:lpwstr>_Toc229825716</vt:lpwstr>
      </vt:variant>
      <vt:variant>
        <vt:i4>1638462</vt:i4>
      </vt:variant>
      <vt:variant>
        <vt:i4>92</vt:i4>
      </vt:variant>
      <vt:variant>
        <vt:i4>0</vt:i4>
      </vt:variant>
      <vt:variant>
        <vt:i4>5</vt:i4>
      </vt:variant>
      <vt:variant>
        <vt:lpwstr/>
      </vt:variant>
      <vt:variant>
        <vt:lpwstr>_Toc229825715</vt:lpwstr>
      </vt:variant>
      <vt:variant>
        <vt:i4>1638462</vt:i4>
      </vt:variant>
      <vt:variant>
        <vt:i4>86</vt:i4>
      </vt:variant>
      <vt:variant>
        <vt:i4>0</vt:i4>
      </vt:variant>
      <vt:variant>
        <vt:i4>5</vt:i4>
      </vt:variant>
      <vt:variant>
        <vt:lpwstr/>
      </vt:variant>
      <vt:variant>
        <vt:lpwstr>_Toc229825714</vt:lpwstr>
      </vt:variant>
      <vt:variant>
        <vt:i4>1638462</vt:i4>
      </vt:variant>
      <vt:variant>
        <vt:i4>80</vt:i4>
      </vt:variant>
      <vt:variant>
        <vt:i4>0</vt:i4>
      </vt:variant>
      <vt:variant>
        <vt:i4>5</vt:i4>
      </vt:variant>
      <vt:variant>
        <vt:lpwstr/>
      </vt:variant>
      <vt:variant>
        <vt:lpwstr>_Toc229825713</vt:lpwstr>
      </vt:variant>
      <vt:variant>
        <vt:i4>1638462</vt:i4>
      </vt:variant>
      <vt:variant>
        <vt:i4>74</vt:i4>
      </vt:variant>
      <vt:variant>
        <vt:i4>0</vt:i4>
      </vt:variant>
      <vt:variant>
        <vt:i4>5</vt:i4>
      </vt:variant>
      <vt:variant>
        <vt:lpwstr/>
      </vt:variant>
      <vt:variant>
        <vt:lpwstr>_Toc229825712</vt:lpwstr>
      </vt:variant>
      <vt:variant>
        <vt:i4>1638462</vt:i4>
      </vt:variant>
      <vt:variant>
        <vt:i4>68</vt:i4>
      </vt:variant>
      <vt:variant>
        <vt:i4>0</vt:i4>
      </vt:variant>
      <vt:variant>
        <vt:i4>5</vt:i4>
      </vt:variant>
      <vt:variant>
        <vt:lpwstr/>
      </vt:variant>
      <vt:variant>
        <vt:lpwstr>_Toc229825711</vt:lpwstr>
      </vt:variant>
      <vt:variant>
        <vt:i4>1638462</vt:i4>
      </vt:variant>
      <vt:variant>
        <vt:i4>62</vt:i4>
      </vt:variant>
      <vt:variant>
        <vt:i4>0</vt:i4>
      </vt:variant>
      <vt:variant>
        <vt:i4>5</vt:i4>
      </vt:variant>
      <vt:variant>
        <vt:lpwstr/>
      </vt:variant>
      <vt:variant>
        <vt:lpwstr>_Toc229825710</vt:lpwstr>
      </vt:variant>
      <vt:variant>
        <vt:i4>1572926</vt:i4>
      </vt:variant>
      <vt:variant>
        <vt:i4>56</vt:i4>
      </vt:variant>
      <vt:variant>
        <vt:i4>0</vt:i4>
      </vt:variant>
      <vt:variant>
        <vt:i4>5</vt:i4>
      </vt:variant>
      <vt:variant>
        <vt:lpwstr/>
      </vt:variant>
      <vt:variant>
        <vt:lpwstr>_Toc229825709</vt:lpwstr>
      </vt:variant>
      <vt:variant>
        <vt:i4>1572926</vt:i4>
      </vt:variant>
      <vt:variant>
        <vt:i4>50</vt:i4>
      </vt:variant>
      <vt:variant>
        <vt:i4>0</vt:i4>
      </vt:variant>
      <vt:variant>
        <vt:i4>5</vt:i4>
      </vt:variant>
      <vt:variant>
        <vt:lpwstr/>
      </vt:variant>
      <vt:variant>
        <vt:lpwstr>_Toc229825708</vt:lpwstr>
      </vt:variant>
      <vt:variant>
        <vt:i4>1572926</vt:i4>
      </vt:variant>
      <vt:variant>
        <vt:i4>44</vt:i4>
      </vt:variant>
      <vt:variant>
        <vt:i4>0</vt:i4>
      </vt:variant>
      <vt:variant>
        <vt:i4>5</vt:i4>
      </vt:variant>
      <vt:variant>
        <vt:lpwstr/>
      </vt:variant>
      <vt:variant>
        <vt:lpwstr>_Toc229825707</vt:lpwstr>
      </vt:variant>
      <vt:variant>
        <vt:i4>1572926</vt:i4>
      </vt:variant>
      <vt:variant>
        <vt:i4>38</vt:i4>
      </vt:variant>
      <vt:variant>
        <vt:i4>0</vt:i4>
      </vt:variant>
      <vt:variant>
        <vt:i4>5</vt:i4>
      </vt:variant>
      <vt:variant>
        <vt:lpwstr/>
      </vt:variant>
      <vt:variant>
        <vt:lpwstr>_Toc229825706</vt:lpwstr>
      </vt:variant>
      <vt:variant>
        <vt:i4>1572926</vt:i4>
      </vt:variant>
      <vt:variant>
        <vt:i4>32</vt:i4>
      </vt:variant>
      <vt:variant>
        <vt:i4>0</vt:i4>
      </vt:variant>
      <vt:variant>
        <vt:i4>5</vt:i4>
      </vt:variant>
      <vt:variant>
        <vt:lpwstr/>
      </vt:variant>
      <vt:variant>
        <vt:lpwstr>_Toc229825705</vt:lpwstr>
      </vt:variant>
      <vt:variant>
        <vt:i4>1572926</vt:i4>
      </vt:variant>
      <vt:variant>
        <vt:i4>26</vt:i4>
      </vt:variant>
      <vt:variant>
        <vt:i4>0</vt:i4>
      </vt:variant>
      <vt:variant>
        <vt:i4>5</vt:i4>
      </vt:variant>
      <vt:variant>
        <vt:lpwstr/>
      </vt:variant>
      <vt:variant>
        <vt:lpwstr>_Toc229825704</vt:lpwstr>
      </vt:variant>
      <vt:variant>
        <vt:i4>1572926</vt:i4>
      </vt:variant>
      <vt:variant>
        <vt:i4>20</vt:i4>
      </vt:variant>
      <vt:variant>
        <vt:i4>0</vt:i4>
      </vt:variant>
      <vt:variant>
        <vt:i4>5</vt:i4>
      </vt:variant>
      <vt:variant>
        <vt:lpwstr/>
      </vt:variant>
      <vt:variant>
        <vt:lpwstr>_Toc229825703</vt:lpwstr>
      </vt:variant>
      <vt:variant>
        <vt:i4>1572926</vt:i4>
      </vt:variant>
      <vt:variant>
        <vt:i4>14</vt:i4>
      </vt:variant>
      <vt:variant>
        <vt:i4>0</vt:i4>
      </vt:variant>
      <vt:variant>
        <vt:i4>5</vt:i4>
      </vt:variant>
      <vt:variant>
        <vt:lpwstr/>
      </vt:variant>
      <vt:variant>
        <vt:lpwstr>_Toc229825702</vt:lpwstr>
      </vt:variant>
      <vt:variant>
        <vt:i4>1572926</vt:i4>
      </vt:variant>
      <vt:variant>
        <vt:i4>8</vt:i4>
      </vt:variant>
      <vt:variant>
        <vt:i4>0</vt:i4>
      </vt:variant>
      <vt:variant>
        <vt:i4>5</vt:i4>
      </vt:variant>
      <vt:variant>
        <vt:lpwstr/>
      </vt:variant>
      <vt:variant>
        <vt:lpwstr>_Toc229825701</vt:lpwstr>
      </vt:variant>
      <vt:variant>
        <vt:i4>6946933</vt:i4>
      </vt:variant>
      <vt:variant>
        <vt:i4>0</vt:i4>
      </vt:variant>
      <vt:variant>
        <vt:i4>0</vt:i4>
      </vt:variant>
      <vt:variant>
        <vt:i4>5</vt:i4>
      </vt:variant>
      <vt:variant>
        <vt:lpwstr>http://www.educationcounts.govt.nz/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Ministry of Education</dc:creator>
  <dc:description>Developed by Airplane Studios/Edocs</dc:description>
  <cp:lastModifiedBy>Louise Howie</cp:lastModifiedBy>
  <cp:revision>2</cp:revision>
  <cp:lastPrinted>2014-04-15T22:25:00Z</cp:lastPrinted>
  <dcterms:created xsi:type="dcterms:W3CDTF">2014-07-18T04:37:00Z</dcterms:created>
  <dcterms:modified xsi:type="dcterms:W3CDTF">2014-07-18T04:37:00Z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