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166" w:rsidRDefault="00B419A5" w:rsidP="00072166">
      <w:pPr>
        <w:pStyle w:val="Title"/>
      </w:pPr>
      <w:bookmarkStart w:id="0" w:name="ReportTitle"/>
      <w:r>
        <w:t>Was it worth it?</w:t>
      </w:r>
      <w:bookmarkEnd w:id="0"/>
    </w:p>
    <w:p w:rsidR="00AF0321" w:rsidRPr="000045D2" w:rsidRDefault="004B1DE4" w:rsidP="00D86DFE">
      <w:pPr>
        <w:pStyle w:val="Titlesub"/>
        <w:ind w:left="1701"/>
      </w:pPr>
      <w:r>
        <w:t>Do low-</w:t>
      </w:r>
      <w:r w:rsidR="003B63A7">
        <w:t>income</w:t>
      </w:r>
      <w:r w:rsidR="00F64182">
        <w:t xml:space="preserve"> New Zealand</w:t>
      </w:r>
      <w:r w:rsidR="00756AEF">
        <w:t xml:space="preserve"> </w:t>
      </w:r>
      <w:r w:rsidR="00F64182">
        <w:t>s</w:t>
      </w:r>
      <w:r w:rsidR="00756AEF">
        <w:t>tudent loan borrowers</w:t>
      </w:r>
      <w:r w:rsidR="00F64182">
        <w:t xml:space="preserve"> </w:t>
      </w:r>
      <w:r w:rsidR="00114F3A">
        <w:t>increase</w:t>
      </w:r>
      <w:r w:rsidR="00F64182">
        <w:t xml:space="preserve"> their income after studying for a tertiary qualification?</w:t>
      </w:r>
    </w:p>
    <w:p w:rsidR="00ED68DB" w:rsidRPr="000045D2" w:rsidRDefault="00ED68DB" w:rsidP="002F7F68"/>
    <w:p w:rsidR="002F7F68" w:rsidRDefault="002F7F68" w:rsidP="00B675AF">
      <w:pPr>
        <w:sectPr w:rsidR="002F7F68" w:rsidSect="00832F8A">
          <w:headerReference w:type="default" r:id="rId8"/>
          <w:type w:val="continuous"/>
          <w:pgSz w:w="11906" w:h="16838" w:code="9"/>
          <w:pgMar w:top="1418" w:right="624" w:bottom="4536" w:left="1701" w:header="709" w:footer="709" w:gutter="0"/>
          <w:pgNumType w:start="1"/>
          <w:cols w:space="708"/>
          <w:vAlign w:val="bottom"/>
          <w:docGrid w:linePitch="360"/>
        </w:sectPr>
      </w:pPr>
    </w:p>
    <w:p w:rsidR="00782818" w:rsidRDefault="00782818" w:rsidP="00782818">
      <w:pPr>
        <w:pStyle w:val="Insidecover"/>
      </w:pPr>
      <w:r w:rsidRPr="00782818">
        <w:lastRenderedPageBreak/>
        <w:t>This report forms part of a serie</w:t>
      </w:r>
      <w:r>
        <w:t>s called</w:t>
      </w:r>
      <w:r w:rsidR="00D52E3B">
        <w:t xml:space="preserve"> </w:t>
      </w:r>
      <w:proofErr w:type="gramStart"/>
      <w:r>
        <w:t>Beyond</w:t>
      </w:r>
      <w:proofErr w:type="gramEnd"/>
      <w:r>
        <w:t xml:space="preserve"> tertiary study.</w:t>
      </w:r>
    </w:p>
    <w:p w:rsidR="00ED68DB" w:rsidRPr="006511DE" w:rsidRDefault="00782818" w:rsidP="004D1E17">
      <w:pPr>
        <w:pStyle w:val="Insidecover"/>
      </w:pPr>
      <w:r w:rsidRPr="00782818">
        <w:t>Other topics covered by the series include how graduates’ earnings change over time, labour market outcomes, education and economic growth, and qualifications and income.</w:t>
      </w:r>
    </w:p>
    <w:p w:rsidR="004D1E17" w:rsidRDefault="00ED68DB" w:rsidP="00B675AF">
      <w:pPr>
        <w:pStyle w:val="Insidecover"/>
        <w:spacing w:before="200"/>
      </w:pPr>
      <w:r w:rsidRPr="006511DE">
        <w:rPr>
          <w:b/>
        </w:rPr>
        <w:t>Author</w:t>
      </w:r>
    </w:p>
    <w:p w:rsidR="004D1E17" w:rsidRDefault="00F315BB" w:rsidP="004D1E17">
      <w:pPr>
        <w:pStyle w:val="Insidecover"/>
      </w:pPr>
      <w:r>
        <w:t xml:space="preserve">Ralf </w:t>
      </w:r>
      <w:proofErr w:type="spellStart"/>
      <w:r>
        <w:t>Engler</w:t>
      </w:r>
      <w:proofErr w:type="spellEnd"/>
      <w:r w:rsidR="00ED68DB" w:rsidRPr="006511DE">
        <w:t xml:space="preserve">, </w:t>
      </w:r>
      <w:r>
        <w:t>Senior Research Analyst</w:t>
      </w:r>
    </w:p>
    <w:p w:rsidR="004D1E17" w:rsidRPr="008C48F6" w:rsidRDefault="00ED68DB" w:rsidP="004D1E17">
      <w:pPr>
        <w:pStyle w:val="Insidecover"/>
        <w:rPr>
          <w:lang w:val="en-GB"/>
        </w:rPr>
      </w:pPr>
      <w:r w:rsidRPr="008C48F6">
        <w:rPr>
          <w:lang w:val="en-GB"/>
        </w:rPr>
        <w:t xml:space="preserve">Email: </w:t>
      </w:r>
      <w:r w:rsidR="00F315BB">
        <w:rPr>
          <w:lang w:val="en-GB"/>
        </w:rPr>
        <w:t>ralf.engler</w:t>
      </w:r>
      <w:r w:rsidRPr="008C48F6">
        <w:rPr>
          <w:lang w:val="en-GB"/>
        </w:rPr>
        <w:t>@minedu.govt.nz</w:t>
      </w:r>
      <w:r w:rsidR="004D1E17" w:rsidRPr="008C48F6">
        <w:rPr>
          <w:lang w:val="en-GB"/>
        </w:rPr>
        <w:t xml:space="preserve">   </w:t>
      </w:r>
    </w:p>
    <w:p w:rsidR="004D1E17" w:rsidRPr="008C48F6" w:rsidRDefault="00ED68DB" w:rsidP="004D1E17">
      <w:pPr>
        <w:pStyle w:val="Insidecover"/>
        <w:rPr>
          <w:lang w:val="en-GB"/>
        </w:rPr>
      </w:pPr>
      <w:r w:rsidRPr="008C48F6">
        <w:rPr>
          <w:lang w:val="en-GB"/>
        </w:rPr>
        <w:t>Telephone:  04-</w:t>
      </w:r>
      <w:r w:rsidR="00F315BB">
        <w:rPr>
          <w:lang w:val="en-GB"/>
        </w:rPr>
        <w:t>463 7039</w:t>
      </w:r>
    </w:p>
    <w:p w:rsidR="004D1E17" w:rsidRDefault="00ED68DB" w:rsidP="00B675AF">
      <w:pPr>
        <w:pStyle w:val="Insidecover"/>
        <w:spacing w:before="200"/>
      </w:pPr>
      <w:r w:rsidRPr="006511DE">
        <w:rPr>
          <w:b/>
        </w:rPr>
        <w:t>Acknowledgements</w:t>
      </w:r>
    </w:p>
    <w:p w:rsidR="00ED68DB" w:rsidRPr="006511DE" w:rsidRDefault="00ED68DB" w:rsidP="004D1E17">
      <w:pPr>
        <w:pStyle w:val="Insidecover"/>
      </w:pPr>
      <w:r w:rsidRPr="006511DE">
        <w:t xml:space="preserve">The author gratefully acknowledges comments provided </w:t>
      </w:r>
      <w:r w:rsidR="001F71B5">
        <w:t xml:space="preserve">by Roger Smyth, Anne </w:t>
      </w:r>
      <w:proofErr w:type="spellStart"/>
      <w:r w:rsidR="001F71B5">
        <w:t>Haase</w:t>
      </w:r>
      <w:proofErr w:type="spellEnd"/>
      <w:r w:rsidR="001F71B5">
        <w:t xml:space="preserve">, Zaneta Park, Nancy Chu, </w:t>
      </w:r>
      <w:r w:rsidR="009509AF">
        <w:t xml:space="preserve">Paul Mahoney, Warren Smart, </w:t>
      </w:r>
      <w:r w:rsidR="001F71B5">
        <w:t xml:space="preserve">(all from Ministry of Education), Charlotte </w:t>
      </w:r>
      <w:proofErr w:type="spellStart"/>
      <w:r w:rsidR="001F71B5">
        <w:t>Defeijter</w:t>
      </w:r>
      <w:proofErr w:type="spellEnd"/>
      <w:r w:rsidR="001F71B5">
        <w:t xml:space="preserve"> (Ministry of Social Development)</w:t>
      </w:r>
      <w:r w:rsidR="00A9348A">
        <w:t>. The author would especially like to thank</w:t>
      </w:r>
      <w:r w:rsidR="00054B89">
        <w:t xml:space="preserve"> Isabelle (</w:t>
      </w:r>
      <w:proofErr w:type="spellStart"/>
      <w:r w:rsidR="00054B89">
        <w:t>Izi</w:t>
      </w:r>
      <w:proofErr w:type="spellEnd"/>
      <w:r w:rsidR="00054B89">
        <w:t>) Sin (</w:t>
      </w:r>
      <w:proofErr w:type="spellStart"/>
      <w:r w:rsidR="00A9348A">
        <w:t>Motu</w:t>
      </w:r>
      <w:proofErr w:type="spellEnd"/>
      <w:r w:rsidR="00A9348A">
        <w:t xml:space="preserve"> Economic and Public Policy Research</w:t>
      </w:r>
      <w:r w:rsidR="00054B89">
        <w:t>)</w:t>
      </w:r>
      <w:r w:rsidR="001F71B5">
        <w:t xml:space="preserve"> and Sarah Crichton (Ministry of Business, Innovation and Employment).</w:t>
      </w:r>
      <w:r w:rsidRPr="006511DE">
        <w:t xml:space="preserve">  The author also gratefully acknowledges the assistance provided by</w:t>
      </w:r>
      <w:r w:rsidR="001F71B5">
        <w:t xml:space="preserve"> </w:t>
      </w:r>
      <w:proofErr w:type="spellStart"/>
      <w:r w:rsidR="001F71B5">
        <w:t>StatisticsNZ</w:t>
      </w:r>
      <w:proofErr w:type="spellEnd"/>
      <w:r w:rsidR="001F71B5">
        <w:t xml:space="preserve"> micro-data laboratory staff.</w:t>
      </w:r>
      <w:r w:rsidRPr="006511DE">
        <w:t xml:space="preserve">  </w:t>
      </w:r>
    </w:p>
    <w:p w:rsidR="00ED68DB" w:rsidRDefault="00ED68DB" w:rsidP="00B675AF">
      <w:pPr>
        <w:pStyle w:val="Insidecover"/>
        <w:spacing w:before="200"/>
      </w:pPr>
      <w:r w:rsidRPr="006511DE">
        <w:t>All views expressed in this report, and any remaining errors or omissions, remain the responsibility of the author.</w:t>
      </w:r>
    </w:p>
    <w:p w:rsidR="00892333" w:rsidRDefault="00892333" w:rsidP="00892333">
      <w:pPr>
        <w:pStyle w:val="Insidecover"/>
        <w:spacing w:before="200"/>
      </w:pPr>
      <w:r w:rsidRPr="006511DE">
        <w:rPr>
          <w:b/>
        </w:rPr>
        <w:t>Published by</w:t>
      </w:r>
    </w:p>
    <w:p w:rsidR="00892333" w:rsidRDefault="00892333" w:rsidP="00892333">
      <w:pPr>
        <w:pStyle w:val="Insidecover"/>
      </w:pPr>
      <w:r w:rsidRPr="006511DE">
        <w:t>Terti</w:t>
      </w:r>
      <w:r>
        <w:t xml:space="preserve">ary </w:t>
      </w:r>
      <w:r w:rsidR="00441FDC">
        <w:t>s</w:t>
      </w:r>
      <w:r>
        <w:t xml:space="preserve">ector </w:t>
      </w:r>
      <w:r w:rsidR="00441FDC">
        <w:t>p</w:t>
      </w:r>
      <w:r>
        <w:t xml:space="preserve">erformance </w:t>
      </w:r>
      <w:r w:rsidR="00441FDC">
        <w:t>a</w:t>
      </w:r>
      <w:r>
        <w:t>nalysis</w:t>
      </w:r>
    </w:p>
    <w:p w:rsidR="00892333" w:rsidRDefault="00441FDC" w:rsidP="00892333">
      <w:pPr>
        <w:pStyle w:val="Insidecover"/>
      </w:pPr>
      <w:r>
        <w:t>Graduate achievement, vocations and careers</w:t>
      </w:r>
    </w:p>
    <w:p w:rsidR="00892333" w:rsidRPr="006511DE" w:rsidRDefault="00892333" w:rsidP="00892333">
      <w:pPr>
        <w:pStyle w:val="Insidecover"/>
      </w:pPr>
      <w:r w:rsidRPr="006511DE">
        <w:t>MINISTRY OF EDUCATION</w:t>
      </w:r>
    </w:p>
    <w:p w:rsidR="00892333" w:rsidRDefault="00892333" w:rsidP="00892333">
      <w:pPr>
        <w:pStyle w:val="Insidecover"/>
        <w:spacing w:before="200"/>
      </w:pPr>
      <w:r>
        <w:t>© Crown Copyright</w:t>
      </w:r>
    </w:p>
    <w:p w:rsidR="00892333" w:rsidRDefault="00892333" w:rsidP="00892333">
      <w:pPr>
        <w:autoSpaceDE w:val="0"/>
        <w:autoSpaceDN w:val="0"/>
        <w:adjustRightInd w:val="0"/>
        <w:ind w:left="-284"/>
        <w:rPr>
          <w:rFonts w:ascii="Arial" w:hAnsi="Arial" w:cs="Arial"/>
          <w:color w:val="000000"/>
          <w:sz w:val="18"/>
          <w:szCs w:val="18"/>
          <w:lang w:eastAsia="en-NZ"/>
        </w:rPr>
      </w:pPr>
      <w:r>
        <w:rPr>
          <w:rFonts w:ascii="Arial" w:hAnsi="Arial" w:cs="Arial"/>
          <w:color w:val="000000"/>
          <w:sz w:val="18"/>
          <w:szCs w:val="18"/>
          <w:lang w:eastAsia="en-NZ"/>
        </w:rPr>
        <w:t>This work is licensed under the Creative Commons Attribution 3.0 New Zealand licence.</w:t>
      </w:r>
    </w:p>
    <w:p w:rsidR="00892333" w:rsidRDefault="00892333" w:rsidP="00892333">
      <w:pPr>
        <w:autoSpaceDE w:val="0"/>
        <w:autoSpaceDN w:val="0"/>
        <w:adjustRightInd w:val="0"/>
        <w:ind w:left="-284"/>
        <w:rPr>
          <w:rFonts w:ascii="Arial" w:hAnsi="Arial"/>
          <w:sz w:val="18"/>
        </w:rPr>
      </w:pPr>
      <w:r>
        <w:rPr>
          <w:rFonts w:ascii="Arial" w:hAnsi="Arial" w:cs="Arial"/>
          <w:color w:val="000000"/>
          <w:sz w:val="18"/>
          <w:szCs w:val="18"/>
          <w:lang w:eastAsia="en-NZ"/>
        </w:rPr>
        <w:t xml:space="preserve">You are free to copy, distribute and adapt the work, as long as you attribute the work to the copyright holder and abide by the other licence terms. To view a copy of this licence, visit </w:t>
      </w:r>
      <w:r>
        <w:rPr>
          <w:rFonts w:ascii="Arial" w:hAnsi="Arial" w:cs="Arial"/>
          <w:sz w:val="18"/>
          <w:szCs w:val="18"/>
          <w:lang w:eastAsia="en-NZ"/>
        </w:rPr>
        <w:t>www.creativecommons.org/licenses/</w:t>
      </w:r>
      <w:r>
        <w:rPr>
          <w:rFonts w:ascii="Arial" w:hAnsi="Arial" w:cs="Arial"/>
          <w:sz w:val="18"/>
          <w:szCs w:val="18"/>
          <w:lang w:eastAsia="en-NZ"/>
        </w:rPr>
        <w:br/>
        <w:t>by/3.0/</w:t>
      </w:r>
      <w:proofErr w:type="spellStart"/>
      <w:r>
        <w:rPr>
          <w:rFonts w:ascii="Arial" w:hAnsi="Arial" w:cs="Arial"/>
          <w:sz w:val="18"/>
          <w:szCs w:val="18"/>
          <w:lang w:eastAsia="en-NZ"/>
        </w:rPr>
        <w:t>nz</w:t>
      </w:r>
      <w:proofErr w:type="spellEnd"/>
      <w:r>
        <w:rPr>
          <w:rFonts w:ascii="Arial" w:hAnsi="Arial" w:cs="Arial"/>
          <w:sz w:val="18"/>
          <w:szCs w:val="18"/>
          <w:lang w:eastAsia="en-NZ"/>
        </w:rPr>
        <w:t>/.</w:t>
      </w:r>
    </w:p>
    <w:p w:rsidR="00892333" w:rsidRDefault="00892333" w:rsidP="00892333">
      <w:pPr>
        <w:autoSpaceDE w:val="0"/>
        <w:autoSpaceDN w:val="0"/>
        <w:adjustRightInd w:val="0"/>
        <w:spacing w:before="200"/>
        <w:ind w:left="-284"/>
        <w:rPr>
          <w:rFonts w:ascii="Arial" w:hAnsi="Arial" w:cs="Arial"/>
          <w:sz w:val="18"/>
          <w:szCs w:val="18"/>
        </w:rPr>
      </w:pPr>
      <w:r>
        <w:rPr>
          <w:rFonts w:ascii="Arial" w:hAnsi="Arial"/>
          <w:sz w:val="18"/>
        </w:rPr>
        <w:t xml:space="preserve">This report is available from the Ministry of Education’s Education Counts website:  </w:t>
      </w:r>
      <w:hyperlink r:id="rId9" w:history="1">
        <w:r w:rsidRPr="00B01B45">
          <w:rPr>
            <w:rFonts w:ascii="Arial" w:hAnsi="Arial"/>
            <w:sz w:val="18"/>
          </w:rPr>
          <w:t>www.educationcounts.govt.nz</w:t>
        </w:r>
      </w:hyperlink>
      <w:r w:rsidRPr="00B01B45">
        <w:rPr>
          <w:rFonts w:ascii="Arial" w:hAnsi="Arial"/>
          <w:sz w:val="18"/>
        </w:rPr>
        <w:t>.</w:t>
      </w:r>
    </w:p>
    <w:p w:rsidR="00ED68DB" w:rsidRPr="006511DE" w:rsidRDefault="00FC186D" w:rsidP="00B675AF">
      <w:pPr>
        <w:pStyle w:val="Insidecover"/>
        <w:spacing w:before="200" w:after="200"/>
      </w:pPr>
      <w:r>
        <w:t>June</w:t>
      </w:r>
      <w:r w:rsidR="001F71B5">
        <w:t xml:space="preserve"> 2014</w:t>
      </w:r>
    </w:p>
    <w:p w:rsidR="00ED68DB" w:rsidRPr="00096CE7" w:rsidRDefault="00ED68DB" w:rsidP="004D1E17">
      <w:pPr>
        <w:pStyle w:val="Insidecover"/>
      </w:pPr>
      <w:r w:rsidRPr="00096CE7">
        <w:t>ISBN (web)</w:t>
      </w:r>
      <w:r w:rsidRPr="00096CE7">
        <w:tab/>
      </w:r>
      <w:r w:rsidR="00096CE7" w:rsidRPr="00096CE7">
        <w:rPr>
          <w:color w:val="404040"/>
        </w:rPr>
        <w:t>978-0-478-42216-0</w:t>
      </w:r>
      <w:r w:rsidR="003C221C" w:rsidRPr="00096CE7">
        <w:t xml:space="preserve">  </w:t>
      </w:r>
      <w:r w:rsidR="00B675AF" w:rsidRPr="00096CE7">
        <w:t xml:space="preserve">  </w:t>
      </w:r>
    </w:p>
    <w:p w:rsidR="00AF0321" w:rsidRDefault="00AF0321" w:rsidP="00B675AF">
      <w:pPr>
        <w:pStyle w:val="Insidecover"/>
        <w:sectPr w:rsidR="00AF0321" w:rsidSect="00832F8A">
          <w:headerReference w:type="default" r:id="rId10"/>
          <w:type w:val="evenPage"/>
          <w:pgSz w:w="11906" w:h="16838" w:code="9"/>
          <w:pgMar w:top="1418" w:right="1701" w:bottom="1418" w:left="1701" w:header="709" w:footer="709" w:gutter="0"/>
          <w:pgNumType w:start="1"/>
          <w:cols w:space="708"/>
          <w:vAlign w:val="bottom"/>
          <w:docGrid w:linePitch="360"/>
        </w:sectPr>
      </w:pPr>
    </w:p>
    <w:p w:rsidR="00177D52" w:rsidRDefault="0092253D" w:rsidP="00072166">
      <w:pPr>
        <w:pStyle w:val="Headingspaceafter"/>
        <w:rPr>
          <w:noProof/>
        </w:rPr>
      </w:pPr>
      <w:fldSimple w:instr=" REF ReportTitle  \* MERGEFORMAT ">
        <w:r w:rsidR="00D15EF8">
          <w:t>Was it worth it?</w:t>
        </w:r>
      </w:fldSimple>
      <w:r w:rsidR="00072166">
        <w:rPr>
          <w:noProof/>
        </w:rPr>
        <w:t xml:space="preserve">  </w:t>
      </w:r>
    </w:p>
    <w:p w:rsidR="00420319" w:rsidRDefault="0092253D">
      <w:pPr>
        <w:pStyle w:val="TOC1"/>
        <w:rPr>
          <w:rFonts w:asciiTheme="minorHAnsi" w:eastAsiaTheme="minorEastAsia" w:hAnsiTheme="minorHAnsi" w:cstheme="minorBidi"/>
          <w:sz w:val="22"/>
          <w:szCs w:val="22"/>
          <w:lang w:eastAsia="en-NZ"/>
        </w:rPr>
      </w:pPr>
      <w:r>
        <w:fldChar w:fldCharType="begin"/>
      </w:r>
      <w:r w:rsidR="00A835C5">
        <w:instrText xml:space="preserve"> TOC \h \z \t "Heading 1,1,Heading 2,2,Appendix,1,Heading 1A,2,Heading 2a,2,Appendix Sub,2" </w:instrText>
      </w:r>
      <w:r>
        <w:fldChar w:fldCharType="separate"/>
      </w:r>
      <w:hyperlink w:anchor="_Toc386449897" w:history="1">
        <w:r w:rsidR="00420319" w:rsidRPr="005660ED">
          <w:rPr>
            <w:rStyle w:val="Hyperlink"/>
          </w:rPr>
          <w:t>1</w:t>
        </w:r>
        <w:r w:rsidR="00420319">
          <w:rPr>
            <w:rFonts w:asciiTheme="minorHAnsi" w:eastAsiaTheme="minorEastAsia" w:hAnsiTheme="minorHAnsi" w:cstheme="minorBidi"/>
            <w:sz w:val="22"/>
            <w:szCs w:val="22"/>
            <w:lang w:eastAsia="en-NZ"/>
          </w:rPr>
          <w:tab/>
        </w:r>
        <w:r w:rsidR="00420319" w:rsidRPr="005660ED">
          <w:rPr>
            <w:rStyle w:val="Hyperlink"/>
          </w:rPr>
          <w:t>Summary</w:t>
        </w:r>
        <w:r w:rsidR="00420319">
          <w:rPr>
            <w:webHidden/>
          </w:rPr>
          <w:tab/>
        </w:r>
        <w:r>
          <w:rPr>
            <w:webHidden/>
          </w:rPr>
          <w:fldChar w:fldCharType="begin"/>
        </w:r>
        <w:r w:rsidR="00420319">
          <w:rPr>
            <w:webHidden/>
          </w:rPr>
          <w:instrText xml:space="preserve"> PAGEREF _Toc386449897 \h </w:instrText>
        </w:r>
        <w:r>
          <w:rPr>
            <w:webHidden/>
          </w:rPr>
        </w:r>
        <w:r>
          <w:rPr>
            <w:webHidden/>
          </w:rPr>
          <w:fldChar w:fldCharType="separate"/>
        </w:r>
        <w:r w:rsidR="00420319">
          <w:rPr>
            <w:webHidden/>
          </w:rPr>
          <w:t>4</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898" w:history="1">
        <w:r w:rsidR="00420319" w:rsidRPr="005660ED">
          <w:rPr>
            <w:rStyle w:val="Hyperlink"/>
          </w:rPr>
          <w:t>2</w:t>
        </w:r>
        <w:r w:rsidR="00420319">
          <w:rPr>
            <w:rFonts w:asciiTheme="minorHAnsi" w:eastAsiaTheme="minorEastAsia" w:hAnsiTheme="minorHAnsi" w:cstheme="minorBidi"/>
            <w:sz w:val="22"/>
            <w:szCs w:val="22"/>
            <w:lang w:eastAsia="en-NZ"/>
          </w:rPr>
          <w:tab/>
        </w:r>
        <w:r w:rsidR="00420319" w:rsidRPr="005660ED">
          <w:rPr>
            <w:rStyle w:val="Hyperlink"/>
          </w:rPr>
          <w:t>Introduction</w:t>
        </w:r>
        <w:r w:rsidR="00420319">
          <w:rPr>
            <w:webHidden/>
          </w:rPr>
          <w:tab/>
        </w:r>
        <w:r>
          <w:rPr>
            <w:webHidden/>
          </w:rPr>
          <w:fldChar w:fldCharType="begin"/>
        </w:r>
        <w:r w:rsidR="00420319">
          <w:rPr>
            <w:webHidden/>
          </w:rPr>
          <w:instrText xml:space="preserve"> PAGEREF _Toc386449898 \h </w:instrText>
        </w:r>
        <w:r>
          <w:rPr>
            <w:webHidden/>
          </w:rPr>
        </w:r>
        <w:r>
          <w:rPr>
            <w:webHidden/>
          </w:rPr>
          <w:fldChar w:fldCharType="separate"/>
        </w:r>
        <w:r w:rsidR="00420319">
          <w:rPr>
            <w:webHidden/>
          </w:rPr>
          <w:t>8</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899" w:history="1">
        <w:r w:rsidR="00420319" w:rsidRPr="005660ED">
          <w:rPr>
            <w:rStyle w:val="Hyperlink"/>
          </w:rPr>
          <w:t>3</w:t>
        </w:r>
        <w:r w:rsidR="00420319">
          <w:rPr>
            <w:rFonts w:asciiTheme="minorHAnsi" w:eastAsiaTheme="minorEastAsia" w:hAnsiTheme="minorHAnsi" w:cstheme="minorBidi"/>
            <w:sz w:val="22"/>
            <w:szCs w:val="22"/>
            <w:lang w:eastAsia="en-NZ"/>
          </w:rPr>
          <w:tab/>
        </w:r>
        <w:r w:rsidR="00420319" w:rsidRPr="005660ED">
          <w:rPr>
            <w:rStyle w:val="Hyperlink"/>
          </w:rPr>
          <w:t>How income changes for low-income students after studying for a tertiary qualification</w:t>
        </w:r>
        <w:r w:rsidR="00420319">
          <w:rPr>
            <w:webHidden/>
          </w:rPr>
          <w:tab/>
        </w:r>
        <w:r>
          <w:rPr>
            <w:webHidden/>
          </w:rPr>
          <w:fldChar w:fldCharType="begin"/>
        </w:r>
        <w:r w:rsidR="00420319">
          <w:rPr>
            <w:webHidden/>
          </w:rPr>
          <w:instrText xml:space="preserve"> PAGEREF _Toc386449899 \h </w:instrText>
        </w:r>
        <w:r>
          <w:rPr>
            <w:webHidden/>
          </w:rPr>
        </w:r>
        <w:r>
          <w:rPr>
            <w:webHidden/>
          </w:rPr>
          <w:fldChar w:fldCharType="separate"/>
        </w:r>
        <w:r w:rsidR="00420319">
          <w:rPr>
            <w:webHidden/>
          </w:rPr>
          <w:t>11</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900" w:history="1">
        <w:r w:rsidR="00420319" w:rsidRPr="005660ED">
          <w:rPr>
            <w:rStyle w:val="Hyperlink"/>
          </w:rPr>
          <w:t>4</w:t>
        </w:r>
        <w:r w:rsidR="00420319">
          <w:rPr>
            <w:rFonts w:asciiTheme="minorHAnsi" w:eastAsiaTheme="minorEastAsia" w:hAnsiTheme="minorHAnsi" w:cstheme="minorBidi"/>
            <w:sz w:val="22"/>
            <w:szCs w:val="22"/>
            <w:lang w:eastAsia="en-NZ"/>
          </w:rPr>
          <w:tab/>
        </w:r>
        <w:r w:rsidR="00420319" w:rsidRPr="005660ED">
          <w:rPr>
            <w:rStyle w:val="Hyperlink"/>
          </w:rPr>
          <w:t>Post-completion income distributions</w:t>
        </w:r>
        <w:r w:rsidR="00420319">
          <w:rPr>
            <w:webHidden/>
          </w:rPr>
          <w:tab/>
        </w:r>
        <w:r>
          <w:rPr>
            <w:webHidden/>
          </w:rPr>
          <w:fldChar w:fldCharType="begin"/>
        </w:r>
        <w:r w:rsidR="00420319">
          <w:rPr>
            <w:webHidden/>
          </w:rPr>
          <w:instrText xml:space="preserve"> PAGEREF _Toc386449900 \h </w:instrText>
        </w:r>
        <w:r>
          <w:rPr>
            <w:webHidden/>
          </w:rPr>
        </w:r>
        <w:r>
          <w:rPr>
            <w:webHidden/>
          </w:rPr>
          <w:fldChar w:fldCharType="separate"/>
        </w:r>
        <w:r w:rsidR="00420319">
          <w:rPr>
            <w:webHidden/>
          </w:rPr>
          <w:t>21</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901" w:history="1">
        <w:r w:rsidR="00420319" w:rsidRPr="005660ED">
          <w:rPr>
            <w:rStyle w:val="Hyperlink"/>
          </w:rPr>
          <w:t>5</w:t>
        </w:r>
        <w:r w:rsidR="00420319">
          <w:rPr>
            <w:rFonts w:asciiTheme="minorHAnsi" w:eastAsiaTheme="minorEastAsia" w:hAnsiTheme="minorHAnsi" w:cstheme="minorBidi"/>
            <w:sz w:val="22"/>
            <w:szCs w:val="22"/>
            <w:lang w:eastAsia="en-NZ"/>
          </w:rPr>
          <w:tab/>
        </w:r>
        <w:r w:rsidR="00420319" w:rsidRPr="005660ED">
          <w:rPr>
            <w:rStyle w:val="Hyperlink"/>
          </w:rPr>
          <w:t>Other considerations</w:t>
        </w:r>
        <w:r w:rsidR="00420319">
          <w:rPr>
            <w:webHidden/>
          </w:rPr>
          <w:tab/>
        </w:r>
        <w:r>
          <w:rPr>
            <w:webHidden/>
          </w:rPr>
          <w:fldChar w:fldCharType="begin"/>
        </w:r>
        <w:r w:rsidR="00420319">
          <w:rPr>
            <w:webHidden/>
          </w:rPr>
          <w:instrText xml:space="preserve"> PAGEREF _Toc386449901 \h </w:instrText>
        </w:r>
        <w:r>
          <w:rPr>
            <w:webHidden/>
          </w:rPr>
        </w:r>
        <w:r>
          <w:rPr>
            <w:webHidden/>
          </w:rPr>
          <w:fldChar w:fldCharType="separate"/>
        </w:r>
        <w:r w:rsidR="00420319">
          <w:rPr>
            <w:webHidden/>
          </w:rPr>
          <w:t>28</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2" w:history="1">
        <w:r w:rsidR="00420319" w:rsidRPr="005660ED">
          <w:rPr>
            <w:rStyle w:val="Hyperlink"/>
          </w:rPr>
          <w:t>5.1</w:t>
        </w:r>
        <w:r w:rsidR="00420319">
          <w:rPr>
            <w:rFonts w:asciiTheme="minorHAnsi" w:eastAsiaTheme="minorEastAsia" w:hAnsiTheme="minorHAnsi" w:cstheme="minorBidi"/>
            <w:sz w:val="22"/>
            <w:szCs w:val="22"/>
            <w:lang w:eastAsia="en-NZ"/>
          </w:rPr>
          <w:tab/>
        </w:r>
        <w:r w:rsidR="00420319" w:rsidRPr="005660ED">
          <w:rPr>
            <w:rStyle w:val="Hyperlink"/>
          </w:rPr>
          <w:t>People in their fifties</w:t>
        </w:r>
        <w:r w:rsidR="00420319">
          <w:rPr>
            <w:webHidden/>
          </w:rPr>
          <w:tab/>
        </w:r>
        <w:r>
          <w:rPr>
            <w:webHidden/>
          </w:rPr>
          <w:fldChar w:fldCharType="begin"/>
        </w:r>
        <w:r w:rsidR="00420319">
          <w:rPr>
            <w:webHidden/>
          </w:rPr>
          <w:instrText xml:space="preserve"> PAGEREF _Toc386449902 \h </w:instrText>
        </w:r>
        <w:r>
          <w:rPr>
            <w:webHidden/>
          </w:rPr>
        </w:r>
        <w:r>
          <w:rPr>
            <w:webHidden/>
          </w:rPr>
          <w:fldChar w:fldCharType="separate"/>
        </w:r>
        <w:r w:rsidR="00420319">
          <w:rPr>
            <w:webHidden/>
          </w:rPr>
          <w:t>28</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3" w:history="1">
        <w:r w:rsidR="00420319" w:rsidRPr="005660ED">
          <w:rPr>
            <w:rStyle w:val="Hyperlink"/>
          </w:rPr>
          <w:t>5.2</w:t>
        </w:r>
        <w:r w:rsidR="00420319">
          <w:rPr>
            <w:rFonts w:asciiTheme="minorHAnsi" w:eastAsiaTheme="minorEastAsia" w:hAnsiTheme="minorHAnsi" w:cstheme="minorBidi"/>
            <w:sz w:val="22"/>
            <w:szCs w:val="22"/>
            <w:lang w:eastAsia="en-NZ"/>
          </w:rPr>
          <w:tab/>
        </w:r>
        <w:r w:rsidR="00420319" w:rsidRPr="005660ED">
          <w:rPr>
            <w:rStyle w:val="Hyperlink"/>
          </w:rPr>
          <w:t>Subject of the qualification</w:t>
        </w:r>
        <w:r w:rsidR="00420319">
          <w:rPr>
            <w:webHidden/>
          </w:rPr>
          <w:tab/>
        </w:r>
        <w:r>
          <w:rPr>
            <w:webHidden/>
          </w:rPr>
          <w:fldChar w:fldCharType="begin"/>
        </w:r>
        <w:r w:rsidR="00420319">
          <w:rPr>
            <w:webHidden/>
          </w:rPr>
          <w:instrText xml:space="preserve"> PAGEREF _Toc386449903 \h </w:instrText>
        </w:r>
        <w:r>
          <w:rPr>
            <w:webHidden/>
          </w:rPr>
        </w:r>
        <w:r>
          <w:rPr>
            <w:webHidden/>
          </w:rPr>
          <w:fldChar w:fldCharType="separate"/>
        </w:r>
        <w:r w:rsidR="00420319">
          <w:rPr>
            <w:webHidden/>
          </w:rPr>
          <w:t>29</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4" w:history="1">
        <w:r w:rsidR="00420319" w:rsidRPr="005660ED">
          <w:rPr>
            <w:rStyle w:val="Hyperlink"/>
          </w:rPr>
          <w:t>5.3</w:t>
        </w:r>
        <w:r w:rsidR="00420319">
          <w:rPr>
            <w:rFonts w:asciiTheme="minorHAnsi" w:eastAsiaTheme="minorEastAsia" w:hAnsiTheme="minorHAnsi" w:cstheme="minorBidi"/>
            <w:sz w:val="22"/>
            <w:szCs w:val="22"/>
            <w:lang w:eastAsia="en-NZ"/>
          </w:rPr>
          <w:tab/>
        </w:r>
        <w:r w:rsidR="00420319" w:rsidRPr="005660ED">
          <w:rPr>
            <w:rStyle w:val="Hyperlink"/>
          </w:rPr>
          <w:t>Type of job or industry of employment</w:t>
        </w:r>
        <w:r w:rsidR="00420319">
          <w:rPr>
            <w:webHidden/>
          </w:rPr>
          <w:tab/>
        </w:r>
        <w:r>
          <w:rPr>
            <w:webHidden/>
          </w:rPr>
          <w:fldChar w:fldCharType="begin"/>
        </w:r>
        <w:r w:rsidR="00420319">
          <w:rPr>
            <w:webHidden/>
          </w:rPr>
          <w:instrText xml:space="preserve"> PAGEREF _Toc386449904 \h </w:instrText>
        </w:r>
        <w:r>
          <w:rPr>
            <w:webHidden/>
          </w:rPr>
        </w:r>
        <w:r>
          <w:rPr>
            <w:webHidden/>
          </w:rPr>
          <w:fldChar w:fldCharType="separate"/>
        </w:r>
        <w:r w:rsidR="00420319">
          <w:rPr>
            <w:webHidden/>
          </w:rPr>
          <w:t>29</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5" w:history="1">
        <w:r w:rsidR="00420319" w:rsidRPr="005660ED">
          <w:rPr>
            <w:rStyle w:val="Hyperlink"/>
          </w:rPr>
          <w:t>5.4</w:t>
        </w:r>
        <w:r w:rsidR="00420319">
          <w:rPr>
            <w:rFonts w:asciiTheme="minorHAnsi" w:eastAsiaTheme="minorEastAsia" w:hAnsiTheme="minorHAnsi" w:cstheme="minorBidi"/>
            <w:sz w:val="22"/>
            <w:szCs w:val="22"/>
            <w:lang w:eastAsia="en-NZ"/>
          </w:rPr>
          <w:tab/>
        </w:r>
        <w:r w:rsidR="00420319" w:rsidRPr="005660ED">
          <w:rPr>
            <w:rStyle w:val="Hyperlink"/>
          </w:rPr>
          <w:t>Type of tertiary study, full-time or part-time</w:t>
        </w:r>
        <w:r w:rsidR="00420319">
          <w:rPr>
            <w:webHidden/>
          </w:rPr>
          <w:tab/>
        </w:r>
        <w:r>
          <w:rPr>
            <w:webHidden/>
          </w:rPr>
          <w:fldChar w:fldCharType="begin"/>
        </w:r>
        <w:r w:rsidR="00420319">
          <w:rPr>
            <w:webHidden/>
          </w:rPr>
          <w:instrText xml:space="preserve"> PAGEREF _Toc386449905 \h </w:instrText>
        </w:r>
        <w:r>
          <w:rPr>
            <w:webHidden/>
          </w:rPr>
        </w:r>
        <w:r>
          <w:rPr>
            <w:webHidden/>
          </w:rPr>
          <w:fldChar w:fldCharType="separate"/>
        </w:r>
        <w:r w:rsidR="00420319">
          <w:rPr>
            <w:webHidden/>
          </w:rPr>
          <w:t>29</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6" w:history="1">
        <w:r w:rsidR="00420319" w:rsidRPr="005660ED">
          <w:rPr>
            <w:rStyle w:val="Hyperlink"/>
          </w:rPr>
          <w:t>5.5</w:t>
        </w:r>
        <w:r w:rsidR="00420319">
          <w:rPr>
            <w:rFonts w:asciiTheme="minorHAnsi" w:eastAsiaTheme="minorEastAsia" w:hAnsiTheme="minorHAnsi" w:cstheme="minorBidi"/>
            <w:sz w:val="22"/>
            <w:szCs w:val="22"/>
            <w:lang w:eastAsia="en-NZ"/>
          </w:rPr>
          <w:tab/>
        </w:r>
        <w:r w:rsidR="00420319" w:rsidRPr="005660ED">
          <w:rPr>
            <w:rStyle w:val="Hyperlink"/>
          </w:rPr>
          <w:t>Previous qualifications attained</w:t>
        </w:r>
        <w:r w:rsidR="00420319">
          <w:rPr>
            <w:webHidden/>
          </w:rPr>
          <w:tab/>
        </w:r>
        <w:r>
          <w:rPr>
            <w:webHidden/>
          </w:rPr>
          <w:fldChar w:fldCharType="begin"/>
        </w:r>
        <w:r w:rsidR="00420319">
          <w:rPr>
            <w:webHidden/>
          </w:rPr>
          <w:instrText xml:space="preserve"> PAGEREF _Toc386449906 \h </w:instrText>
        </w:r>
        <w:r>
          <w:rPr>
            <w:webHidden/>
          </w:rPr>
        </w:r>
        <w:r>
          <w:rPr>
            <w:webHidden/>
          </w:rPr>
          <w:fldChar w:fldCharType="separate"/>
        </w:r>
        <w:r w:rsidR="00420319">
          <w:rPr>
            <w:webHidden/>
          </w:rPr>
          <w:t>30</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7" w:history="1">
        <w:r w:rsidR="00420319" w:rsidRPr="005660ED">
          <w:rPr>
            <w:rStyle w:val="Hyperlink"/>
          </w:rPr>
          <w:t>5.6</w:t>
        </w:r>
        <w:r w:rsidR="00420319">
          <w:rPr>
            <w:rFonts w:asciiTheme="minorHAnsi" w:eastAsiaTheme="minorEastAsia" w:hAnsiTheme="minorHAnsi" w:cstheme="minorBidi"/>
            <w:sz w:val="22"/>
            <w:szCs w:val="22"/>
            <w:lang w:eastAsia="en-NZ"/>
          </w:rPr>
          <w:tab/>
        </w:r>
        <w:r w:rsidR="00420319" w:rsidRPr="005660ED">
          <w:rPr>
            <w:rStyle w:val="Hyperlink"/>
          </w:rPr>
          <w:t>Size of student loan</w:t>
        </w:r>
        <w:r w:rsidR="00420319">
          <w:rPr>
            <w:webHidden/>
          </w:rPr>
          <w:tab/>
        </w:r>
        <w:r>
          <w:rPr>
            <w:webHidden/>
          </w:rPr>
          <w:fldChar w:fldCharType="begin"/>
        </w:r>
        <w:r w:rsidR="00420319">
          <w:rPr>
            <w:webHidden/>
          </w:rPr>
          <w:instrText xml:space="preserve"> PAGEREF _Toc386449907 \h </w:instrText>
        </w:r>
        <w:r>
          <w:rPr>
            <w:webHidden/>
          </w:rPr>
        </w:r>
        <w:r>
          <w:rPr>
            <w:webHidden/>
          </w:rPr>
          <w:fldChar w:fldCharType="separate"/>
        </w:r>
        <w:r w:rsidR="00420319">
          <w:rPr>
            <w:webHidden/>
          </w:rPr>
          <w:t>30</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8" w:history="1">
        <w:r w:rsidR="00420319" w:rsidRPr="005660ED">
          <w:rPr>
            <w:rStyle w:val="Hyperlink"/>
          </w:rPr>
          <w:t>5.7</w:t>
        </w:r>
        <w:r w:rsidR="00420319">
          <w:rPr>
            <w:rFonts w:asciiTheme="minorHAnsi" w:eastAsiaTheme="minorEastAsia" w:hAnsiTheme="minorHAnsi" w:cstheme="minorBidi"/>
            <w:sz w:val="22"/>
            <w:szCs w:val="22"/>
            <w:lang w:eastAsia="en-NZ"/>
          </w:rPr>
          <w:tab/>
        </w:r>
        <w:r w:rsidR="00420319" w:rsidRPr="005660ED">
          <w:rPr>
            <w:rStyle w:val="Hyperlink"/>
          </w:rPr>
          <w:t>Ease of repayment</w:t>
        </w:r>
        <w:r w:rsidR="00420319">
          <w:rPr>
            <w:webHidden/>
          </w:rPr>
          <w:tab/>
        </w:r>
        <w:r>
          <w:rPr>
            <w:webHidden/>
          </w:rPr>
          <w:fldChar w:fldCharType="begin"/>
        </w:r>
        <w:r w:rsidR="00420319">
          <w:rPr>
            <w:webHidden/>
          </w:rPr>
          <w:instrText xml:space="preserve"> PAGEREF _Toc386449908 \h </w:instrText>
        </w:r>
        <w:r>
          <w:rPr>
            <w:webHidden/>
          </w:rPr>
        </w:r>
        <w:r>
          <w:rPr>
            <w:webHidden/>
          </w:rPr>
          <w:fldChar w:fldCharType="separate"/>
        </w:r>
        <w:r w:rsidR="00420319">
          <w:rPr>
            <w:webHidden/>
          </w:rPr>
          <w:t>31</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09" w:history="1">
        <w:r w:rsidR="00420319" w:rsidRPr="005660ED">
          <w:rPr>
            <w:rStyle w:val="Hyperlink"/>
          </w:rPr>
          <w:t>5.8</w:t>
        </w:r>
        <w:r w:rsidR="00420319">
          <w:rPr>
            <w:rFonts w:asciiTheme="minorHAnsi" w:eastAsiaTheme="minorEastAsia" w:hAnsiTheme="minorHAnsi" w:cstheme="minorBidi"/>
            <w:sz w:val="22"/>
            <w:szCs w:val="22"/>
            <w:lang w:eastAsia="en-NZ"/>
          </w:rPr>
          <w:tab/>
        </w:r>
        <w:r w:rsidR="00420319" w:rsidRPr="005660ED">
          <w:rPr>
            <w:rStyle w:val="Hyperlink"/>
          </w:rPr>
          <w:t>Type of benefit</w:t>
        </w:r>
        <w:r w:rsidR="00420319">
          <w:rPr>
            <w:webHidden/>
          </w:rPr>
          <w:tab/>
        </w:r>
        <w:r>
          <w:rPr>
            <w:webHidden/>
          </w:rPr>
          <w:fldChar w:fldCharType="begin"/>
        </w:r>
        <w:r w:rsidR="00420319">
          <w:rPr>
            <w:webHidden/>
          </w:rPr>
          <w:instrText xml:space="preserve"> PAGEREF _Toc386449909 \h </w:instrText>
        </w:r>
        <w:r>
          <w:rPr>
            <w:webHidden/>
          </w:rPr>
        </w:r>
        <w:r>
          <w:rPr>
            <w:webHidden/>
          </w:rPr>
          <w:fldChar w:fldCharType="separate"/>
        </w:r>
        <w:r w:rsidR="00420319">
          <w:rPr>
            <w:webHidden/>
          </w:rPr>
          <w:t>31</w:t>
        </w:r>
        <w:r>
          <w:rPr>
            <w:webHidden/>
          </w:rPr>
          <w:fldChar w:fldCharType="end"/>
        </w:r>
      </w:hyperlink>
    </w:p>
    <w:p w:rsidR="00420319" w:rsidRDefault="0092253D">
      <w:pPr>
        <w:pStyle w:val="TOC2"/>
        <w:tabs>
          <w:tab w:val="left" w:pos="1134"/>
        </w:tabs>
        <w:rPr>
          <w:rFonts w:asciiTheme="minorHAnsi" w:eastAsiaTheme="minorEastAsia" w:hAnsiTheme="minorHAnsi" w:cstheme="minorBidi"/>
          <w:sz w:val="22"/>
          <w:szCs w:val="22"/>
          <w:lang w:eastAsia="en-NZ"/>
        </w:rPr>
      </w:pPr>
      <w:hyperlink w:anchor="_Toc386449910" w:history="1">
        <w:r w:rsidR="00420319" w:rsidRPr="005660ED">
          <w:rPr>
            <w:rStyle w:val="Hyperlink"/>
          </w:rPr>
          <w:t>5.9</w:t>
        </w:r>
        <w:r w:rsidR="00420319">
          <w:rPr>
            <w:rFonts w:asciiTheme="minorHAnsi" w:eastAsiaTheme="minorEastAsia" w:hAnsiTheme="minorHAnsi" w:cstheme="minorBidi"/>
            <w:sz w:val="22"/>
            <w:szCs w:val="22"/>
            <w:lang w:eastAsia="en-NZ"/>
          </w:rPr>
          <w:tab/>
        </w:r>
        <w:r w:rsidR="00420319" w:rsidRPr="005660ED">
          <w:rPr>
            <w:rStyle w:val="Hyperlink"/>
          </w:rPr>
          <w:t>Length of time on a benefit</w:t>
        </w:r>
        <w:r w:rsidR="00420319">
          <w:rPr>
            <w:webHidden/>
          </w:rPr>
          <w:tab/>
        </w:r>
        <w:r>
          <w:rPr>
            <w:webHidden/>
          </w:rPr>
          <w:fldChar w:fldCharType="begin"/>
        </w:r>
        <w:r w:rsidR="00420319">
          <w:rPr>
            <w:webHidden/>
          </w:rPr>
          <w:instrText xml:space="preserve"> PAGEREF _Toc386449910 \h </w:instrText>
        </w:r>
        <w:r>
          <w:rPr>
            <w:webHidden/>
          </w:rPr>
        </w:r>
        <w:r>
          <w:rPr>
            <w:webHidden/>
          </w:rPr>
          <w:fldChar w:fldCharType="separate"/>
        </w:r>
        <w:r w:rsidR="00420319">
          <w:rPr>
            <w:webHidden/>
          </w:rPr>
          <w:t>32</w:t>
        </w:r>
        <w:r>
          <w:rPr>
            <w:webHidden/>
          </w:rPr>
          <w:fldChar w:fldCharType="end"/>
        </w:r>
      </w:hyperlink>
    </w:p>
    <w:p w:rsidR="00420319" w:rsidRDefault="0092253D">
      <w:pPr>
        <w:pStyle w:val="TOC2"/>
        <w:tabs>
          <w:tab w:val="left" w:pos="1320"/>
        </w:tabs>
        <w:rPr>
          <w:rFonts w:asciiTheme="minorHAnsi" w:eastAsiaTheme="minorEastAsia" w:hAnsiTheme="minorHAnsi" w:cstheme="minorBidi"/>
          <w:sz w:val="22"/>
          <w:szCs w:val="22"/>
          <w:lang w:eastAsia="en-NZ"/>
        </w:rPr>
      </w:pPr>
      <w:hyperlink w:anchor="_Toc386449911" w:history="1">
        <w:r w:rsidR="00420319" w:rsidRPr="005660ED">
          <w:rPr>
            <w:rStyle w:val="Hyperlink"/>
          </w:rPr>
          <w:t>5.10</w:t>
        </w:r>
        <w:r w:rsidR="00420319">
          <w:rPr>
            <w:rFonts w:asciiTheme="minorHAnsi" w:eastAsiaTheme="minorEastAsia" w:hAnsiTheme="minorHAnsi" w:cstheme="minorBidi"/>
            <w:sz w:val="22"/>
            <w:szCs w:val="22"/>
            <w:lang w:eastAsia="en-NZ"/>
          </w:rPr>
          <w:tab/>
        </w:r>
        <w:r w:rsidR="00420319" w:rsidRPr="005660ED">
          <w:rPr>
            <w:rStyle w:val="Hyperlink"/>
          </w:rPr>
          <w:t>Labour market and economic conditions</w:t>
        </w:r>
        <w:r w:rsidR="00420319">
          <w:rPr>
            <w:webHidden/>
          </w:rPr>
          <w:tab/>
        </w:r>
        <w:r>
          <w:rPr>
            <w:webHidden/>
          </w:rPr>
          <w:fldChar w:fldCharType="begin"/>
        </w:r>
        <w:r w:rsidR="00420319">
          <w:rPr>
            <w:webHidden/>
          </w:rPr>
          <w:instrText xml:space="preserve"> PAGEREF _Toc386449911 \h </w:instrText>
        </w:r>
        <w:r>
          <w:rPr>
            <w:webHidden/>
          </w:rPr>
        </w:r>
        <w:r>
          <w:rPr>
            <w:webHidden/>
          </w:rPr>
          <w:fldChar w:fldCharType="separate"/>
        </w:r>
        <w:r w:rsidR="00420319">
          <w:rPr>
            <w:webHidden/>
          </w:rPr>
          <w:t>33</w:t>
        </w:r>
        <w:r>
          <w:rPr>
            <w:webHidden/>
          </w:rPr>
          <w:fldChar w:fldCharType="end"/>
        </w:r>
      </w:hyperlink>
    </w:p>
    <w:p w:rsidR="00420319" w:rsidRDefault="0092253D">
      <w:pPr>
        <w:pStyle w:val="TOC2"/>
        <w:tabs>
          <w:tab w:val="left" w:pos="1320"/>
        </w:tabs>
        <w:rPr>
          <w:rFonts w:asciiTheme="minorHAnsi" w:eastAsiaTheme="minorEastAsia" w:hAnsiTheme="minorHAnsi" w:cstheme="minorBidi"/>
          <w:sz w:val="22"/>
          <w:szCs w:val="22"/>
          <w:lang w:eastAsia="en-NZ"/>
        </w:rPr>
      </w:pPr>
      <w:hyperlink w:anchor="_Toc386449912" w:history="1">
        <w:r w:rsidR="00420319" w:rsidRPr="005660ED">
          <w:rPr>
            <w:rStyle w:val="Hyperlink"/>
          </w:rPr>
          <w:t>5.11</w:t>
        </w:r>
        <w:r w:rsidR="00420319">
          <w:rPr>
            <w:rFonts w:asciiTheme="minorHAnsi" w:eastAsiaTheme="minorEastAsia" w:hAnsiTheme="minorHAnsi" w:cstheme="minorBidi"/>
            <w:sz w:val="22"/>
            <w:szCs w:val="22"/>
            <w:lang w:eastAsia="en-NZ"/>
          </w:rPr>
          <w:tab/>
        </w:r>
        <w:r w:rsidR="00420319" w:rsidRPr="005660ED">
          <w:rPr>
            <w:rStyle w:val="Hyperlink"/>
          </w:rPr>
          <w:t>Unobserved factors that might be correlated with income</w:t>
        </w:r>
        <w:r w:rsidR="00420319">
          <w:rPr>
            <w:webHidden/>
          </w:rPr>
          <w:tab/>
        </w:r>
        <w:r>
          <w:rPr>
            <w:webHidden/>
          </w:rPr>
          <w:fldChar w:fldCharType="begin"/>
        </w:r>
        <w:r w:rsidR="00420319">
          <w:rPr>
            <w:webHidden/>
          </w:rPr>
          <w:instrText xml:space="preserve"> PAGEREF _Toc386449912 \h </w:instrText>
        </w:r>
        <w:r>
          <w:rPr>
            <w:webHidden/>
          </w:rPr>
        </w:r>
        <w:r>
          <w:rPr>
            <w:webHidden/>
          </w:rPr>
          <w:fldChar w:fldCharType="separate"/>
        </w:r>
        <w:r w:rsidR="00420319">
          <w:rPr>
            <w:webHidden/>
          </w:rPr>
          <w:t>35</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913" w:history="1">
        <w:r w:rsidR="00420319" w:rsidRPr="005660ED">
          <w:rPr>
            <w:rStyle w:val="Hyperlink"/>
          </w:rPr>
          <w:t>6</w:t>
        </w:r>
        <w:r w:rsidR="00420319">
          <w:rPr>
            <w:rFonts w:asciiTheme="minorHAnsi" w:eastAsiaTheme="minorEastAsia" w:hAnsiTheme="minorHAnsi" w:cstheme="minorBidi"/>
            <w:sz w:val="22"/>
            <w:szCs w:val="22"/>
            <w:lang w:eastAsia="en-NZ"/>
          </w:rPr>
          <w:tab/>
        </w:r>
        <w:r w:rsidR="00420319" w:rsidRPr="005660ED">
          <w:rPr>
            <w:rStyle w:val="Hyperlink"/>
          </w:rPr>
          <w:t>Confidentiality of data</w:t>
        </w:r>
        <w:r w:rsidR="00420319">
          <w:rPr>
            <w:webHidden/>
          </w:rPr>
          <w:tab/>
        </w:r>
        <w:r>
          <w:rPr>
            <w:webHidden/>
          </w:rPr>
          <w:fldChar w:fldCharType="begin"/>
        </w:r>
        <w:r w:rsidR="00420319">
          <w:rPr>
            <w:webHidden/>
          </w:rPr>
          <w:instrText xml:space="preserve"> PAGEREF _Toc386449913 \h </w:instrText>
        </w:r>
        <w:r>
          <w:rPr>
            <w:webHidden/>
          </w:rPr>
        </w:r>
        <w:r>
          <w:rPr>
            <w:webHidden/>
          </w:rPr>
          <w:fldChar w:fldCharType="separate"/>
        </w:r>
        <w:r w:rsidR="00420319">
          <w:rPr>
            <w:webHidden/>
          </w:rPr>
          <w:t>36</w:t>
        </w:r>
        <w:r>
          <w:rPr>
            <w:webHidden/>
          </w:rPr>
          <w:fldChar w:fldCharType="end"/>
        </w:r>
      </w:hyperlink>
    </w:p>
    <w:p w:rsidR="00420319" w:rsidRDefault="0092253D">
      <w:pPr>
        <w:pStyle w:val="TOC1"/>
        <w:rPr>
          <w:rFonts w:asciiTheme="minorHAnsi" w:eastAsiaTheme="minorEastAsia" w:hAnsiTheme="minorHAnsi" w:cstheme="minorBidi"/>
          <w:sz w:val="22"/>
          <w:szCs w:val="22"/>
          <w:lang w:eastAsia="en-NZ"/>
        </w:rPr>
      </w:pPr>
      <w:hyperlink w:anchor="_Toc386449914" w:history="1">
        <w:r w:rsidR="00420319" w:rsidRPr="005660ED">
          <w:rPr>
            <w:rStyle w:val="Hyperlink"/>
          </w:rPr>
          <w:t>7</w:t>
        </w:r>
        <w:r w:rsidR="00420319">
          <w:rPr>
            <w:rFonts w:asciiTheme="minorHAnsi" w:eastAsiaTheme="minorEastAsia" w:hAnsiTheme="minorHAnsi" w:cstheme="minorBidi"/>
            <w:sz w:val="22"/>
            <w:szCs w:val="22"/>
            <w:lang w:eastAsia="en-NZ"/>
          </w:rPr>
          <w:tab/>
        </w:r>
        <w:r w:rsidR="00420319" w:rsidRPr="005660ED">
          <w:rPr>
            <w:rStyle w:val="Hyperlink"/>
          </w:rPr>
          <w:t>References</w:t>
        </w:r>
        <w:r w:rsidR="00420319">
          <w:rPr>
            <w:webHidden/>
          </w:rPr>
          <w:tab/>
        </w:r>
        <w:r>
          <w:rPr>
            <w:webHidden/>
          </w:rPr>
          <w:fldChar w:fldCharType="begin"/>
        </w:r>
        <w:r w:rsidR="00420319">
          <w:rPr>
            <w:webHidden/>
          </w:rPr>
          <w:instrText xml:space="preserve"> PAGEREF _Toc386449914 \h </w:instrText>
        </w:r>
        <w:r>
          <w:rPr>
            <w:webHidden/>
          </w:rPr>
        </w:r>
        <w:r>
          <w:rPr>
            <w:webHidden/>
          </w:rPr>
          <w:fldChar w:fldCharType="separate"/>
        </w:r>
        <w:r w:rsidR="00420319">
          <w:rPr>
            <w:webHidden/>
          </w:rPr>
          <w:t>37</w:t>
        </w:r>
        <w:r>
          <w:rPr>
            <w:webHidden/>
          </w:rPr>
          <w:fldChar w:fldCharType="end"/>
        </w:r>
      </w:hyperlink>
    </w:p>
    <w:p w:rsidR="00177D52" w:rsidRDefault="0092253D" w:rsidP="009A78FC">
      <w:pPr>
        <w:rPr>
          <w:noProof/>
        </w:rPr>
      </w:pPr>
      <w:r>
        <w:rPr>
          <w:rFonts w:ascii="Arial" w:hAnsi="Arial" w:cs="Arial"/>
          <w:noProof/>
          <w:sz w:val="20"/>
          <w:szCs w:val="20"/>
        </w:rPr>
        <w:fldChar w:fldCharType="end"/>
      </w:r>
    </w:p>
    <w:p w:rsidR="00065B09" w:rsidRDefault="00ED68DB" w:rsidP="00586D81">
      <w:pPr>
        <w:pStyle w:val="Heading"/>
        <w:rPr>
          <w:color w:val="FF0000"/>
        </w:rPr>
      </w:pPr>
      <w:r>
        <w:br w:type="page"/>
      </w:r>
    </w:p>
    <w:p w:rsidR="00ED68DB" w:rsidRDefault="004F525C" w:rsidP="001373B5">
      <w:pPr>
        <w:pStyle w:val="Heading1"/>
      </w:pPr>
      <w:bookmarkStart w:id="1" w:name="_Toc386449897"/>
      <w:r>
        <w:lastRenderedPageBreak/>
        <w:t>Summary</w:t>
      </w:r>
      <w:bookmarkEnd w:id="1"/>
    </w:p>
    <w:tbl>
      <w:tblPr>
        <w:tblW w:w="8505" w:type="dxa"/>
        <w:tblInd w:w="17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CDBB9A"/>
        <w:tblCellMar>
          <w:top w:w="57" w:type="dxa"/>
          <w:left w:w="170" w:type="dxa"/>
          <w:bottom w:w="170" w:type="dxa"/>
          <w:right w:w="170" w:type="dxa"/>
        </w:tblCellMar>
        <w:tblLook w:val="00A0"/>
      </w:tblPr>
      <w:tblGrid>
        <w:gridCol w:w="8505"/>
      </w:tblGrid>
      <w:tr w:rsidR="00A835C5" w:rsidRPr="0087235D" w:rsidTr="00A554F4">
        <w:tc>
          <w:tcPr>
            <w:tcW w:w="0" w:type="auto"/>
            <w:shd w:val="clear" w:color="auto" w:fill="CDBB9A"/>
          </w:tcPr>
          <w:p w:rsidR="00834BEE" w:rsidRDefault="00834BEE" w:rsidP="00C63418">
            <w:pPr>
              <w:pStyle w:val="Keypointtext"/>
              <w:jc w:val="both"/>
              <w:rPr>
                <w:szCs w:val="20"/>
              </w:rPr>
            </w:pPr>
            <w:r w:rsidRPr="005C29D0">
              <w:rPr>
                <w:szCs w:val="20"/>
              </w:rPr>
              <w:t>KEY POINTS</w:t>
            </w:r>
          </w:p>
          <w:p w:rsidR="00767434" w:rsidRDefault="00AF5A5B" w:rsidP="00131E83">
            <w:pPr>
              <w:pStyle w:val="Keypointtext"/>
              <w:jc w:val="both"/>
              <w:rPr>
                <w:szCs w:val="20"/>
              </w:rPr>
            </w:pPr>
            <w:r>
              <w:rPr>
                <w:szCs w:val="20"/>
              </w:rPr>
              <w:t>This report looks at</w:t>
            </w:r>
            <w:r w:rsidR="00767434">
              <w:rPr>
                <w:szCs w:val="20"/>
              </w:rPr>
              <w:t xml:space="preserve"> </w:t>
            </w:r>
            <w:r w:rsidR="00F27DB9">
              <w:rPr>
                <w:szCs w:val="20"/>
              </w:rPr>
              <w:t>student loan borrowers</w:t>
            </w:r>
            <w:r w:rsidR="004A26F0">
              <w:rPr>
                <w:szCs w:val="20"/>
              </w:rPr>
              <w:t xml:space="preserve"> living in New Zealand 20 to 50 years of age</w:t>
            </w:r>
            <w:r w:rsidR="00767434">
              <w:rPr>
                <w:szCs w:val="20"/>
              </w:rPr>
              <w:t xml:space="preserve"> with pre-study incomes below the student loan repayment threshold.</w:t>
            </w:r>
          </w:p>
          <w:p w:rsidR="006655DE" w:rsidRDefault="00131E83" w:rsidP="00131E83">
            <w:pPr>
              <w:pStyle w:val="Keypointtext"/>
              <w:jc w:val="both"/>
              <w:rPr>
                <w:szCs w:val="20"/>
              </w:rPr>
            </w:pPr>
            <w:r>
              <w:rPr>
                <w:szCs w:val="20"/>
              </w:rPr>
              <w:t xml:space="preserve">The average </w:t>
            </w:r>
            <w:r w:rsidR="00F27DB9">
              <w:rPr>
                <w:szCs w:val="20"/>
              </w:rPr>
              <w:t xml:space="preserve">incomes of </w:t>
            </w:r>
            <w:r w:rsidR="006C3048">
              <w:rPr>
                <w:szCs w:val="20"/>
              </w:rPr>
              <w:t xml:space="preserve">these </w:t>
            </w:r>
            <w:r w:rsidR="00F27DB9">
              <w:rPr>
                <w:szCs w:val="20"/>
              </w:rPr>
              <w:t>New Zealand student loan borrowers, and their rate of increase in income, are</w:t>
            </w:r>
            <w:r>
              <w:rPr>
                <w:szCs w:val="20"/>
              </w:rPr>
              <w:t xml:space="preserve"> higher if they complete a higher-level qualification</w:t>
            </w:r>
            <w:r w:rsidR="002B570F">
              <w:rPr>
                <w:szCs w:val="20"/>
              </w:rPr>
              <w:t xml:space="preserve"> like a </w:t>
            </w:r>
            <w:r>
              <w:rPr>
                <w:szCs w:val="20"/>
              </w:rPr>
              <w:t>diploma or bachelors degree</w:t>
            </w:r>
            <w:r w:rsidR="002B570F">
              <w:rPr>
                <w:szCs w:val="20"/>
              </w:rPr>
              <w:t xml:space="preserve">, </w:t>
            </w:r>
            <w:r>
              <w:rPr>
                <w:szCs w:val="20"/>
              </w:rPr>
              <w:t xml:space="preserve">compared to those who complete </w:t>
            </w:r>
            <w:r w:rsidR="00767434">
              <w:rPr>
                <w:szCs w:val="20"/>
              </w:rPr>
              <w:t xml:space="preserve">a </w:t>
            </w:r>
            <w:r>
              <w:rPr>
                <w:szCs w:val="20"/>
              </w:rPr>
              <w:t>certificate-level qualification.</w:t>
            </w:r>
          </w:p>
          <w:p w:rsidR="00131E83" w:rsidRDefault="00767434" w:rsidP="00131E83">
            <w:pPr>
              <w:pStyle w:val="Keypointtext"/>
              <w:jc w:val="both"/>
              <w:rPr>
                <w:szCs w:val="20"/>
              </w:rPr>
            </w:pPr>
            <w:r>
              <w:rPr>
                <w:szCs w:val="20"/>
              </w:rPr>
              <w:t>W</w:t>
            </w:r>
            <w:r w:rsidR="00131E83">
              <w:rPr>
                <w:szCs w:val="20"/>
              </w:rPr>
              <w:t>omen generally hav</w:t>
            </w:r>
            <w:r>
              <w:rPr>
                <w:szCs w:val="20"/>
              </w:rPr>
              <w:t>e</w:t>
            </w:r>
            <w:r w:rsidR="00131E83">
              <w:rPr>
                <w:szCs w:val="20"/>
              </w:rPr>
              <w:t xml:space="preserve"> lower average </w:t>
            </w:r>
            <w:r w:rsidR="00752B83">
              <w:rPr>
                <w:szCs w:val="20"/>
              </w:rPr>
              <w:t xml:space="preserve">graduate </w:t>
            </w:r>
            <w:r w:rsidR="00131E83">
              <w:rPr>
                <w:szCs w:val="20"/>
              </w:rPr>
              <w:t>incomes, and lower rates of increase in their income</w:t>
            </w:r>
            <w:r>
              <w:rPr>
                <w:szCs w:val="20"/>
              </w:rPr>
              <w:t xml:space="preserve"> compared to men</w:t>
            </w:r>
            <w:r w:rsidR="00131E83">
              <w:rPr>
                <w:szCs w:val="20"/>
              </w:rPr>
              <w:t xml:space="preserve">, </w:t>
            </w:r>
            <w:r w:rsidR="008A3DB1">
              <w:rPr>
                <w:szCs w:val="20"/>
              </w:rPr>
              <w:t xml:space="preserve">although older women completing </w:t>
            </w:r>
            <w:proofErr w:type="spellStart"/>
            <w:proofErr w:type="gramStart"/>
            <w:r w:rsidR="008A3DB1">
              <w:rPr>
                <w:szCs w:val="20"/>
              </w:rPr>
              <w:t>bachelors</w:t>
            </w:r>
            <w:proofErr w:type="spellEnd"/>
            <w:proofErr w:type="gramEnd"/>
            <w:r w:rsidR="008A3DB1">
              <w:rPr>
                <w:szCs w:val="20"/>
              </w:rPr>
              <w:t xml:space="preserve"> degrees have higher income trajectories than their male counterparts</w:t>
            </w:r>
            <w:r w:rsidR="002B570F">
              <w:rPr>
                <w:szCs w:val="20"/>
              </w:rPr>
              <w:t>.</w:t>
            </w:r>
          </w:p>
          <w:p w:rsidR="002B570F" w:rsidRDefault="002B570F" w:rsidP="002B570F">
            <w:pPr>
              <w:pStyle w:val="Keypointtext"/>
              <w:jc w:val="both"/>
              <w:rPr>
                <w:szCs w:val="20"/>
              </w:rPr>
            </w:pPr>
            <w:r>
              <w:rPr>
                <w:szCs w:val="20"/>
              </w:rPr>
              <w:t xml:space="preserve">Those on a benefit, indicating some difficulty in accessing the labour market, generally have smaller increases </w:t>
            </w:r>
            <w:r w:rsidR="00D16AB4">
              <w:rPr>
                <w:szCs w:val="20"/>
              </w:rPr>
              <w:t xml:space="preserve">in income </w:t>
            </w:r>
            <w:r>
              <w:rPr>
                <w:szCs w:val="20"/>
              </w:rPr>
              <w:t xml:space="preserve">on completing </w:t>
            </w:r>
            <w:r w:rsidR="008A3DB1">
              <w:rPr>
                <w:szCs w:val="20"/>
              </w:rPr>
              <w:t>the same level of</w:t>
            </w:r>
            <w:r>
              <w:rPr>
                <w:szCs w:val="20"/>
              </w:rPr>
              <w:t xml:space="preserve"> qualification, and relatively flat rates of increase </w:t>
            </w:r>
            <w:r w:rsidR="00D16AB4">
              <w:rPr>
                <w:szCs w:val="20"/>
              </w:rPr>
              <w:t xml:space="preserve">in income </w:t>
            </w:r>
            <w:r>
              <w:rPr>
                <w:szCs w:val="20"/>
              </w:rPr>
              <w:t>after graduating,</w:t>
            </w:r>
            <w:r w:rsidR="008A3DB1">
              <w:rPr>
                <w:szCs w:val="20"/>
              </w:rPr>
              <w:t xml:space="preserve"> compared to</w:t>
            </w:r>
            <w:r>
              <w:rPr>
                <w:szCs w:val="20"/>
              </w:rPr>
              <w:t xml:space="preserve"> those not on a benefit, on average.</w:t>
            </w:r>
          </w:p>
          <w:p w:rsidR="002B570F" w:rsidRDefault="002B570F" w:rsidP="002B570F">
            <w:pPr>
              <w:pStyle w:val="Keypointtext"/>
              <w:jc w:val="both"/>
              <w:rPr>
                <w:szCs w:val="20"/>
              </w:rPr>
            </w:pPr>
            <w:r>
              <w:rPr>
                <w:szCs w:val="20"/>
              </w:rPr>
              <w:t>Younger graduates generally have higher rates of increase in their incomes than older graduates, on average.</w:t>
            </w:r>
          </w:p>
          <w:p w:rsidR="002B570F" w:rsidRDefault="002B570F" w:rsidP="002B570F">
            <w:pPr>
              <w:pStyle w:val="Keypointtext"/>
              <w:jc w:val="both"/>
              <w:rPr>
                <w:szCs w:val="20"/>
              </w:rPr>
            </w:pPr>
            <w:r>
              <w:rPr>
                <w:szCs w:val="20"/>
              </w:rPr>
              <w:t>Average incomes increase with time, generally.</w:t>
            </w:r>
          </w:p>
          <w:p w:rsidR="002B570F" w:rsidRDefault="006C3048" w:rsidP="002B570F">
            <w:pPr>
              <w:pStyle w:val="Keypointtext"/>
              <w:jc w:val="both"/>
              <w:rPr>
                <w:szCs w:val="20"/>
              </w:rPr>
            </w:pPr>
            <w:r>
              <w:rPr>
                <w:szCs w:val="20"/>
              </w:rPr>
              <w:t xml:space="preserve">These factors and their interactions are associated with </w:t>
            </w:r>
            <w:r w:rsidR="00AA590F">
              <w:rPr>
                <w:szCs w:val="20"/>
              </w:rPr>
              <w:t xml:space="preserve">both whether a </w:t>
            </w:r>
            <w:r>
              <w:rPr>
                <w:szCs w:val="20"/>
              </w:rPr>
              <w:t>l</w:t>
            </w:r>
            <w:r w:rsidR="00D16AB4">
              <w:rPr>
                <w:szCs w:val="20"/>
              </w:rPr>
              <w:t xml:space="preserve">ow-income </w:t>
            </w:r>
            <w:r w:rsidR="002B570F">
              <w:rPr>
                <w:szCs w:val="20"/>
              </w:rPr>
              <w:t>student loan borrower living in New Zealand</w:t>
            </w:r>
            <w:r w:rsidR="00AA590F">
              <w:rPr>
                <w:szCs w:val="20"/>
              </w:rPr>
              <w:t xml:space="preserve"> </w:t>
            </w:r>
            <w:r w:rsidR="00AF5A5B">
              <w:rPr>
                <w:szCs w:val="20"/>
              </w:rPr>
              <w:t xml:space="preserve">crosses the loan repayment threshold—that is, </w:t>
            </w:r>
            <w:r w:rsidR="00AA590F">
              <w:rPr>
                <w:szCs w:val="20"/>
              </w:rPr>
              <w:t xml:space="preserve">has </w:t>
            </w:r>
            <w:r w:rsidR="002B570F">
              <w:rPr>
                <w:szCs w:val="20"/>
              </w:rPr>
              <w:t>an income</w:t>
            </w:r>
            <w:r w:rsidR="00D16AB4">
              <w:rPr>
                <w:szCs w:val="20"/>
              </w:rPr>
              <w:t xml:space="preserve"> after study</w:t>
            </w:r>
            <w:r w:rsidR="002B570F">
              <w:rPr>
                <w:szCs w:val="20"/>
              </w:rPr>
              <w:t xml:space="preserve"> that </w:t>
            </w:r>
            <w:r>
              <w:rPr>
                <w:szCs w:val="20"/>
              </w:rPr>
              <w:t>obliges</w:t>
            </w:r>
            <w:r w:rsidR="002B570F">
              <w:rPr>
                <w:szCs w:val="20"/>
              </w:rPr>
              <w:t xml:space="preserve"> them to start repaying their student loan</w:t>
            </w:r>
            <w:r w:rsidR="00594D91">
              <w:rPr>
                <w:szCs w:val="20"/>
              </w:rPr>
              <w:t xml:space="preserve">—and </w:t>
            </w:r>
            <w:r w:rsidR="00AA590F">
              <w:rPr>
                <w:szCs w:val="20"/>
              </w:rPr>
              <w:t>the timing o</w:t>
            </w:r>
            <w:r w:rsidR="00594D91">
              <w:rPr>
                <w:szCs w:val="20"/>
              </w:rPr>
              <w:t>f</w:t>
            </w:r>
            <w:r w:rsidR="00AA590F">
              <w:rPr>
                <w:szCs w:val="20"/>
              </w:rPr>
              <w:t xml:space="preserve"> when this occurs</w:t>
            </w:r>
            <w:r w:rsidR="002B570F">
              <w:rPr>
                <w:szCs w:val="20"/>
              </w:rPr>
              <w:t>.</w:t>
            </w:r>
          </w:p>
          <w:p w:rsidR="002B570F" w:rsidRDefault="002B570F" w:rsidP="002B570F">
            <w:pPr>
              <w:pStyle w:val="Keypointtext"/>
              <w:jc w:val="both"/>
              <w:rPr>
                <w:szCs w:val="20"/>
              </w:rPr>
            </w:pPr>
            <w:r>
              <w:rPr>
                <w:szCs w:val="20"/>
              </w:rPr>
              <w:t xml:space="preserve">Younger men generally have average incomes which are above the loan repayment threshold </w:t>
            </w:r>
            <w:r w:rsidR="004369F7">
              <w:rPr>
                <w:szCs w:val="20"/>
              </w:rPr>
              <w:t xml:space="preserve">one year </w:t>
            </w:r>
            <w:r>
              <w:rPr>
                <w:szCs w:val="20"/>
              </w:rPr>
              <w:t>after completing a qualification at any level, and under most circumstances</w:t>
            </w:r>
            <w:r w:rsidR="00AF5A5B">
              <w:rPr>
                <w:szCs w:val="20"/>
              </w:rPr>
              <w:t>,</w:t>
            </w:r>
            <w:r>
              <w:rPr>
                <w:szCs w:val="20"/>
              </w:rPr>
              <w:t xml:space="preserve"> men have average incomes above the threshold after some </w:t>
            </w:r>
            <w:r w:rsidR="00D16AB4">
              <w:rPr>
                <w:szCs w:val="20"/>
              </w:rPr>
              <w:t>years</w:t>
            </w:r>
            <w:r>
              <w:rPr>
                <w:szCs w:val="20"/>
              </w:rPr>
              <w:t xml:space="preserve"> even if they don’t complete their qualification.</w:t>
            </w:r>
          </w:p>
          <w:p w:rsidR="002B570F" w:rsidRDefault="006C3048" w:rsidP="00767434">
            <w:pPr>
              <w:pStyle w:val="Keypointtext"/>
              <w:jc w:val="both"/>
              <w:rPr>
                <w:szCs w:val="20"/>
              </w:rPr>
            </w:pPr>
            <w:r>
              <w:rPr>
                <w:szCs w:val="20"/>
              </w:rPr>
              <w:t>Only w</w:t>
            </w:r>
            <w:r w:rsidR="002B570F">
              <w:rPr>
                <w:szCs w:val="20"/>
              </w:rPr>
              <w:t xml:space="preserve">omen </w:t>
            </w:r>
            <w:r>
              <w:rPr>
                <w:szCs w:val="20"/>
              </w:rPr>
              <w:t xml:space="preserve">who complete diploma or </w:t>
            </w:r>
            <w:proofErr w:type="spellStart"/>
            <w:r>
              <w:rPr>
                <w:szCs w:val="20"/>
              </w:rPr>
              <w:t>bachelors</w:t>
            </w:r>
            <w:proofErr w:type="spellEnd"/>
            <w:r>
              <w:rPr>
                <w:szCs w:val="20"/>
              </w:rPr>
              <w:t xml:space="preserve"> degrees </w:t>
            </w:r>
            <w:r w:rsidR="002B570F">
              <w:rPr>
                <w:szCs w:val="20"/>
              </w:rPr>
              <w:t xml:space="preserve">have average incomes above the repayment threshold </w:t>
            </w:r>
            <w:r w:rsidR="00767434">
              <w:rPr>
                <w:szCs w:val="20"/>
              </w:rPr>
              <w:t>soon after graduating</w:t>
            </w:r>
            <w:r w:rsidR="002B570F">
              <w:rPr>
                <w:szCs w:val="20"/>
              </w:rPr>
              <w:t>,</w:t>
            </w:r>
            <w:r w:rsidR="00AA590F">
              <w:rPr>
                <w:szCs w:val="20"/>
              </w:rPr>
              <w:t xml:space="preserve"> though</w:t>
            </w:r>
            <w:r w:rsidR="002B570F">
              <w:rPr>
                <w:szCs w:val="20"/>
              </w:rPr>
              <w:t xml:space="preserve"> in the longer term</w:t>
            </w:r>
            <w:r w:rsidR="00AF5A5B">
              <w:rPr>
                <w:szCs w:val="20"/>
              </w:rPr>
              <w:t>,</w:t>
            </w:r>
            <w:r w:rsidR="002B570F">
              <w:rPr>
                <w:szCs w:val="20"/>
              </w:rPr>
              <w:t xml:space="preserve"> </w:t>
            </w:r>
            <w:r>
              <w:rPr>
                <w:szCs w:val="20"/>
              </w:rPr>
              <w:t xml:space="preserve">most </w:t>
            </w:r>
            <w:r w:rsidR="002B570F">
              <w:rPr>
                <w:szCs w:val="20"/>
              </w:rPr>
              <w:t xml:space="preserve">women’s </w:t>
            </w:r>
            <w:r>
              <w:rPr>
                <w:szCs w:val="20"/>
              </w:rPr>
              <w:t xml:space="preserve">average </w:t>
            </w:r>
            <w:r w:rsidR="00767434">
              <w:rPr>
                <w:szCs w:val="20"/>
              </w:rPr>
              <w:t xml:space="preserve">graduate </w:t>
            </w:r>
            <w:r w:rsidR="002B570F">
              <w:rPr>
                <w:szCs w:val="20"/>
              </w:rPr>
              <w:t>income</w:t>
            </w:r>
            <w:r w:rsidR="00767434">
              <w:rPr>
                <w:szCs w:val="20"/>
              </w:rPr>
              <w:t>s</w:t>
            </w:r>
            <w:r w:rsidR="002B570F">
              <w:rPr>
                <w:szCs w:val="20"/>
              </w:rPr>
              <w:t xml:space="preserve"> </w:t>
            </w:r>
            <w:r w:rsidR="00AF5A5B">
              <w:rPr>
                <w:szCs w:val="20"/>
              </w:rPr>
              <w:t>cross</w:t>
            </w:r>
            <w:r w:rsidR="00767434">
              <w:rPr>
                <w:szCs w:val="20"/>
              </w:rPr>
              <w:t xml:space="preserve"> the repayment threshold, </w:t>
            </w:r>
            <w:r w:rsidR="00AF5A5B">
              <w:rPr>
                <w:szCs w:val="20"/>
              </w:rPr>
              <w:t xml:space="preserve">although it is only just above the threshold </w:t>
            </w:r>
            <w:r w:rsidR="00767434">
              <w:rPr>
                <w:szCs w:val="20"/>
              </w:rPr>
              <w:t>for those who complete lower-level qualifications.</w:t>
            </w:r>
          </w:p>
          <w:p w:rsidR="00767434" w:rsidRPr="00B6149F" w:rsidRDefault="004369F7" w:rsidP="008A3DB1">
            <w:pPr>
              <w:pStyle w:val="Keypointtext"/>
              <w:jc w:val="both"/>
              <w:rPr>
                <w:szCs w:val="20"/>
              </w:rPr>
            </w:pPr>
            <w:r>
              <w:rPr>
                <w:szCs w:val="20"/>
              </w:rPr>
              <w:t>I</w:t>
            </w:r>
            <w:r w:rsidR="00767434">
              <w:rPr>
                <w:szCs w:val="20"/>
              </w:rPr>
              <w:t>f a</w:t>
            </w:r>
            <w:r>
              <w:rPr>
                <w:szCs w:val="20"/>
              </w:rPr>
              <w:t>ny individual</w:t>
            </w:r>
            <w:r w:rsidR="00767434">
              <w:rPr>
                <w:szCs w:val="20"/>
              </w:rPr>
              <w:t xml:space="preserve"> student loan borrower finds ongoing paid employment after completing their study, they are likely to have an income above the student loan repayment threshold. It is therefore the interplay between their access to the labour market, and how that is facilitated by their qualification, and their personal </w:t>
            </w:r>
            <w:r w:rsidR="00D16AB4">
              <w:rPr>
                <w:szCs w:val="20"/>
              </w:rPr>
              <w:t xml:space="preserve">characteristics and </w:t>
            </w:r>
            <w:r w:rsidR="00767434">
              <w:rPr>
                <w:szCs w:val="20"/>
              </w:rPr>
              <w:t xml:space="preserve">circumstances, which </w:t>
            </w:r>
            <w:r w:rsidR="00D16AB4">
              <w:rPr>
                <w:szCs w:val="20"/>
              </w:rPr>
              <w:t xml:space="preserve">will </w:t>
            </w:r>
            <w:r w:rsidR="00767434">
              <w:rPr>
                <w:szCs w:val="20"/>
              </w:rPr>
              <w:t>determine</w:t>
            </w:r>
            <w:r w:rsidR="00D16AB4">
              <w:rPr>
                <w:szCs w:val="20"/>
              </w:rPr>
              <w:t xml:space="preserve"> whether</w:t>
            </w:r>
            <w:r w:rsidR="00767434">
              <w:rPr>
                <w:szCs w:val="20"/>
              </w:rPr>
              <w:t xml:space="preserve"> they will </w:t>
            </w:r>
            <w:r w:rsidR="00B97EC6">
              <w:rPr>
                <w:szCs w:val="20"/>
              </w:rPr>
              <w:t xml:space="preserve">have sufficient income to </w:t>
            </w:r>
            <w:r w:rsidR="00767434">
              <w:rPr>
                <w:szCs w:val="20"/>
              </w:rPr>
              <w:t>be obliged to repay their student loan.</w:t>
            </w:r>
          </w:p>
        </w:tc>
      </w:tr>
    </w:tbl>
    <w:p w:rsidR="0047564E" w:rsidRDefault="0047564E">
      <w:pPr>
        <w:rPr>
          <w:szCs w:val="20"/>
        </w:rPr>
      </w:pPr>
    </w:p>
    <w:p w:rsidR="00C6709A" w:rsidRDefault="00C6709A" w:rsidP="00C6709A">
      <w:pPr>
        <w:pStyle w:val="BodyText"/>
      </w:pPr>
      <w:r w:rsidRPr="0092523E">
        <w:t xml:space="preserve">If someone living in New Zealand is earning below the student loan repayment threshold, then they probably don’t have a job, or they have a low-paid or part-time job. If that person </w:t>
      </w:r>
      <w:r>
        <w:t xml:space="preserve">with a low income </w:t>
      </w:r>
      <w:r w:rsidRPr="0092523E">
        <w:t xml:space="preserve">takes out a student loan to study </w:t>
      </w:r>
      <w:r w:rsidR="002F142E">
        <w:t>for</w:t>
      </w:r>
      <w:r w:rsidRPr="0092523E">
        <w:t xml:space="preserve"> a qualification to enhance their employment prospects—and for most people this is primarily why they study—for their</w:t>
      </w:r>
      <w:r w:rsidR="00D16AB4">
        <w:t xml:space="preserve"> post-study </w:t>
      </w:r>
      <w:r w:rsidRPr="0092523E">
        <w:t xml:space="preserve"> income to reach the </w:t>
      </w:r>
      <w:r>
        <w:t xml:space="preserve">student loan </w:t>
      </w:r>
      <w:r w:rsidRPr="0092523E">
        <w:t>repayment threshold they have to find paid employment, or better-paid employment, or increase their hours of work. Whether a graduate can do this depends on how much the labour market values the</w:t>
      </w:r>
      <w:r>
        <w:t xml:space="preserve"> generic or industry-specific</w:t>
      </w:r>
      <w:r w:rsidRPr="0092523E">
        <w:t xml:space="preserve"> skills gained by completing that qualification. It also depends on the person’s experience in the particular industry or career being sought, and their ‘employability’. These factors in turn are associated with the person’s gender, their age on graduation, their beneficiary status, and the level of qualification gained. </w:t>
      </w:r>
      <w:r w:rsidRPr="0092523E">
        <w:lastRenderedPageBreak/>
        <w:t>Personal characteristics like ambition, motivation, previous qualifications</w:t>
      </w:r>
      <w:r>
        <w:t xml:space="preserve"> held</w:t>
      </w:r>
      <w:r w:rsidRPr="0092523E">
        <w:t>, non-work obligations and such like are also important, as are the prevailing labour market and economic conditions.</w:t>
      </w:r>
    </w:p>
    <w:p w:rsidR="002F142E" w:rsidRPr="00EA0C94" w:rsidRDefault="002F142E" w:rsidP="002F142E">
      <w:pPr>
        <w:pStyle w:val="BodyText"/>
      </w:pPr>
      <w:r>
        <w:t>In this report</w:t>
      </w:r>
      <w:r w:rsidR="00AF5A5B">
        <w:t>,</w:t>
      </w:r>
      <w:r>
        <w:t xml:space="preserve"> we investigate whether </w:t>
      </w:r>
      <w:r w:rsidR="00F27DB9">
        <w:t>student loan borrower</w:t>
      </w:r>
      <w:r w:rsidR="00923D90">
        <w:t>s</w:t>
      </w:r>
      <w:r>
        <w:t xml:space="preserve"> with a low income</w:t>
      </w:r>
      <w:r w:rsidR="00923D90">
        <w:t>s</w:t>
      </w:r>
      <w:r w:rsidR="00B15EFC">
        <w:t xml:space="preserve"> (those with</w:t>
      </w:r>
      <w:r w:rsidR="003F27D6">
        <w:t xml:space="preserve"> a </w:t>
      </w:r>
      <w:r w:rsidR="00B15EFC">
        <w:t xml:space="preserve"> pre-study income below the student loan repayment threshold)</w:t>
      </w:r>
      <w:r>
        <w:t xml:space="preserve">, living in New Zealand, earn enough income after </w:t>
      </w:r>
      <w:r w:rsidR="00D16AB4">
        <w:t>studying for</w:t>
      </w:r>
      <w:r>
        <w:t xml:space="preserve"> a tertiary qualification to</w:t>
      </w:r>
      <w:r w:rsidR="00AF5A5B">
        <w:t xml:space="preserve"> meet the loan repayment threshold, that is, to </w:t>
      </w:r>
      <w:r>
        <w:t>be obliged to start repaying their student loan</w:t>
      </w:r>
      <w:r w:rsidR="00923D90">
        <w:t>s</w:t>
      </w:r>
      <w:r>
        <w:t xml:space="preserve">. </w:t>
      </w:r>
      <w:r w:rsidR="003F27D6">
        <w:t>We considered the level of qualification</w:t>
      </w:r>
      <w:r w:rsidR="00923D90">
        <w:t xml:space="preserve"> studied</w:t>
      </w:r>
      <w:r w:rsidR="003F27D6">
        <w:t>, whether the qualification was completed or not,</w:t>
      </w:r>
      <w:r w:rsidR="00A461D9">
        <w:t xml:space="preserve"> and </w:t>
      </w:r>
      <w:r w:rsidR="003F27D6">
        <w:t xml:space="preserve">sex, age, and benefit status. </w:t>
      </w:r>
      <w:r w:rsidR="00A461D9">
        <w:t>We looked at how average incomes changed through time for this combination of factors, and we also looked at the distribution of graduate incomes one year after study.</w:t>
      </w:r>
      <w:r w:rsidR="003F27D6">
        <w:t xml:space="preserve"> </w:t>
      </w:r>
      <w:r w:rsidR="00A461D9">
        <w:t>We also considered the association between the subject of the qualification completed and these factors.</w:t>
      </w:r>
      <w:r w:rsidR="005E6E13">
        <w:t xml:space="preserve"> We were not able to consider personal characteristics and many of the other factors associated with someone’s inco</w:t>
      </w:r>
      <w:r w:rsidR="00420319">
        <w:t>m</w:t>
      </w:r>
      <w:r w:rsidR="005E6E13">
        <w:t>e.</w:t>
      </w:r>
    </w:p>
    <w:p w:rsidR="002D4A8E" w:rsidRDefault="00A31C85" w:rsidP="00A31C85">
      <w:pPr>
        <w:pStyle w:val="BodyText"/>
      </w:pPr>
      <w:r>
        <w:t>Whether someone’s income reaches the student loan repayment threshold depends on their pre-study income and the size of the step increase in their income once they complete their studies. Clearly, the higher their pre-study income and the larger the step-increase, the easier it is to</w:t>
      </w:r>
      <w:r w:rsidR="002D4A8E">
        <w:t xml:space="preserve"> reach the repayment threshold.</w:t>
      </w:r>
      <w:r w:rsidR="002D4A8E" w:rsidRPr="002D4A8E">
        <w:t xml:space="preserve"> </w:t>
      </w:r>
      <w:r w:rsidR="002D4A8E">
        <w:t xml:space="preserve">Generally, step increases in income are higher after completing higher-level qualifications, and generally, younger people have higher step increases for completing the same level of qualification than older people. </w:t>
      </w:r>
    </w:p>
    <w:p w:rsidR="00A31C85" w:rsidRDefault="00E70359" w:rsidP="00A31C85">
      <w:pPr>
        <w:pStyle w:val="BodyText"/>
      </w:pPr>
      <w:r>
        <w:t>I</w:t>
      </w:r>
      <w:r w:rsidR="002D4A8E">
        <w:t xml:space="preserve">ncomes </w:t>
      </w:r>
      <w:r>
        <w:t xml:space="preserve">also generally </w:t>
      </w:r>
      <w:r w:rsidR="002D4A8E">
        <w:t xml:space="preserve">rise over time. </w:t>
      </w:r>
      <w:r w:rsidR="00A31C85">
        <w:t>Th</w:t>
      </w:r>
      <w:r w:rsidR="005E6E13">
        <w:t xml:space="preserve">e annual </w:t>
      </w:r>
      <w:r w:rsidR="00A31C85">
        <w:t xml:space="preserve">rise in income </w:t>
      </w:r>
      <w:r w:rsidR="002D4A8E">
        <w:t>is</w:t>
      </w:r>
      <w:r w:rsidR="00A31C85">
        <w:t xml:space="preserve"> important if </w:t>
      </w:r>
      <w:r w:rsidR="00D468B2">
        <w:t>someone’s income is not above the</w:t>
      </w:r>
      <w:r w:rsidR="00A31C85">
        <w:t xml:space="preserve"> </w:t>
      </w:r>
      <w:r>
        <w:t xml:space="preserve">repayment </w:t>
      </w:r>
      <w:r w:rsidR="00A31C85">
        <w:t xml:space="preserve">threshold immediately after completing study. A faster rising income also means </w:t>
      </w:r>
      <w:r>
        <w:t>loan</w:t>
      </w:r>
      <w:r w:rsidR="00A31C85">
        <w:t xml:space="preserve"> repayments are less burdensome financially, particularly for people with post-study incomes that are at first not much higher than the repayment threshold.</w:t>
      </w:r>
      <w:r w:rsidR="002D4A8E" w:rsidRPr="002D4A8E">
        <w:t xml:space="preserve"> </w:t>
      </w:r>
      <w:r w:rsidR="00D468B2">
        <w:t>Younger people generally see a higher annual rise in their income after completing a qualification compared to their annual rise before they studied, whil</w:t>
      </w:r>
      <w:r w:rsidR="005E6E13">
        <w:t>e older people generally do not</w:t>
      </w:r>
      <w:r w:rsidR="00AF5A5B">
        <w:t>. Y</w:t>
      </w:r>
      <w:r w:rsidR="005E6E13">
        <w:t>ounger people’s income generally rises faster than older peoples.</w:t>
      </w:r>
    </w:p>
    <w:p w:rsidR="00A31C85" w:rsidRDefault="00A31C85" w:rsidP="00A31C85">
      <w:pPr>
        <w:pStyle w:val="BodyText"/>
      </w:pPr>
      <w:r>
        <w:t xml:space="preserve">In our study, being on a benefit or not is a proxy for </w:t>
      </w:r>
      <w:r w:rsidR="00B15EFC">
        <w:t xml:space="preserve">the level of </w:t>
      </w:r>
      <w:r>
        <w:t xml:space="preserve">engagement with the labour </w:t>
      </w:r>
      <w:r w:rsidR="00E70359">
        <w:t xml:space="preserve">market. For </w:t>
      </w:r>
      <w:r w:rsidR="00E70359" w:rsidRPr="00AF5A5B">
        <w:rPr>
          <w:b/>
        </w:rPr>
        <w:t>people on a benefit</w:t>
      </w:r>
      <w:r>
        <w:t xml:space="preserve">, the step change in income on completing a qualification is generally lower than </w:t>
      </w:r>
      <w:r w:rsidR="00E70359">
        <w:t xml:space="preserve">for </w:t>
      </w:r>
      <w:r>
        <w:t xml:space="preserve">those seen by non-beneficiaries, and </w:t>
      </w:r>
      <w:r w:rsidR="005E6E13">
        <w:t>beneficiaries’</w:t>
      </w:r>
      <w:r>
        <w:t xml:space="preserve"> annual rate of change in income after completing</w:t>
      </w:r>
      <w:r w:rsidR="00B15EFC">
        <w:t xml:space="preserve"> a qualification</w:t>
      </w:r>
      <w:r>
        <w:t xml:space="preserve"> is often flat. Men in their twenties who are on a benefit after completing </w:t>
      </w:r>
      <w:r w:rsidR="00E70359">
        <w:t xml:space="preserve">a qualification </w:t>
      </w:r>
      <w:r>
        <w:t>are the exception.</w:t>
      </w:r>
    </w:p>
    <w:p w:rsidR="004C30D8" w:rsidRDefault="004C30D8" w:rsidP="004C30D8">
      <w:pPr>
        <w:pStyle w:val="BodyText"/>
      </w:pPr>
      <w:r>
        <w:t xml:space="preserve">Student loan borrowers with low incomes, and who study for and complete </w:t>
      </w:r>
      <w:proofErr w:type="spellStart"/>
      <w:r w:rsidRPr="00AF5A5B">
        <w:rPr>
          <w:b/>
        </w:rPr>
        <w:t>bachelors</w:t>
      </w:r>
      <w:proofErr w:type="spellEnd"/>
      <w:r w:rsidRPr="00AF5A5B">
        <w:rPr>
          <w:b/>
        </w:rPr>
        <w:t xml:space="preserve"> degrees</w:t>
      </w:r>
      <w:r>
        <w:t>, have estimated average incomes one year after graduating which are above the student loan repayment threshold. Even graduates with post-completion incomes at the bottom quarter of the income distribution (given their particular circumstances) have incomes above the repayment threshold. This applies to both sexes, for people up to 50 years of age, and regardless of their level of access to the labour market, as indicated by their beneficiary status.</w:t>
      </w:r>
    </w:p>
    <w:p w:rsidR="004C30D8" w:rsidRDefault="004C30D8" w:rsidP="004C30D8">
      <w:pPr>
        <w:pStyle w:val="BodyText"/>
      </w:pPr>
      <w:r>
        <w:t>If these student loan borrowers</w:t>
      </w:r>
      <w:r w:rsidR="009901BA">
        <w:t xml:space="preserve"> study for but</w:t>
      </w:r>
      <w:r>
        <w:t xml:space="preserve"> don’t complete </w:t>
      </w:r>
      <w:r w:rsidR="009901BA">
        <w:t>a</w:t>
      </w:r>
      <w:r>
        <w:t xml:space="preserve"> </w:t>
      </w:r>
      <w:proofErr w:type="gramStart"/>
      <w:r>
        <w:t>bachelors</w:t>
      </w:r>
      <w:proofErr w:type="gramEnd"/>
      <w:r>
        <w:t xml:space="preserve"> degree, their estimated average income will exceed the repayment threshold within five years after they finish</w:t>
      </w:r>
      <w:r w:rsidR="00E70359">
        <w:t xml:space="preserve"> their</w:t>
      </w:r>
      <w:r>
        <w:t xml:space="preserve"> study. </w:t>
      </w:r>
    </w:p>
    <w:p w:rsidR="00A31C85" w:rsidRDefault="004C30D8" w:rsidP="004C30D8">
      <w:pPr>
        <w:pStyle w:val="BodyText"/>
      </w:pPr>
      <w:r>
        <w:t xml:space="preserve">For low-income student loan borrowers who complete </w:t>
      </w:r>
      <w:r w:rsidRPr="00AF5A5B">
        <w:rPr>
          <w:b/>
        </w:rPr>
        <w:t>diplomas</w:t>
      </w:r>
      <w:r>
        <w:t xml:space="preserve">, their estimated average income is also above the student loan repayment threshold one year after graduation. However, for those </w:t>
      </w:r>
      <w:r w:rsidR="00E70359">
        <w:t xml:space="preserve">diploma graduates </w:t>
      </w:r>
      <w:r>
        <w:t>with incomes at the bottom quarter of the income distribution for their group, generally only men have incomes above the repayment threshold</w:t>
      </w:r>
      <w:r w:rsidR="00E70359">
        <w:t>. For</w:t>
      </w:r>
      <w:r>
        <w:t xml:space="preserve"> women</w:t>
      </w:r>
      <w:r w:rsidR="00E70359">
        <w:t xml:space="preserve"> completing diplomas, their graduate</w:t>
      </w:r>
      <w:r>
        <w:t xml:space="preserve"> incomes are above the threshold only for those </w:t>
      </w:r>
      <w:r w:rsidR="00A31C85">
        <w:t xml:space="preserve">with median </w:t>
      </w:r>
      <w:r w:rsidR="00E70359">
        <w:t xml:space="preserve">and higher </w:t>
      </w:r>
      <w:r w:rsidR="00A31C85">
        <w:t>incomes.</w:t>
      </w:r>
    </w:p>
    <w:p w:rsidR="004C30D8" w:rsidRDefault="004C30D8" w:rsidP="004C30D8">
      <w:pPr>
        <w:pStyle w:val="BodyText"/>
      </w:pPr>
      <w:r>
        <w:lastRenderedPageBreak/>
        <w:t xml:space="preserve">For </w:t>
      </w:r>
      <w:r w:rsidR="005E6E13">
        <w:t xml:space="preserve">low-income </w:t>
      </w:r>
      <w:r>
        <w:t>student loan borrowers who study for but don’t complete diplomas, men generally have estimated average incomes above the repayment threshold one year after study, but most people have estimated average incomes within five years after their study ends.</w:t>
      </w:r>
    </w:p>
    <w:p w:rsidR="005665AE" w:rsidRDefault="004C30D8" w:rsidP="004C30D8">
      <w:pPr>
        <w:pStyle w:val="BodyText"/>
      </w:pPr>
      <w:r>
        <w:t xml:space="preserve">For low-income student loan borrowers completing </w:t>
      </w:r>
      <w:r w:rsidR="00E70359" w:rsidRPr="00AF5A5B">
        <w:rPr>
          <w:b/>
        </w:rPr>
        <w:t xml:space="preserve">certificate-level </w:t>
      </w:r>
      <w:r w:rsidRPr="00AF5A5B">
        <w:rPr>
          <w:b/>
        </w:rPr>
        <w:t>qualifications</w:t>
      </w:r>
      <w:r>
        <w:t xml:space="preserve">, the results are more varied. </w:t>
      </w:r>
      <w:proofErr w:type="gramStart"/>
      <w:r>
        <w:t>Men</w:t>
      </w:r>
      <w:proofErr w:type="gramEnd"/>
      <w:r>
        <w:t xml:space="preserve"> who have no restrictions</w:t>
      </w:r>
      <w:r w:rsidR="009901BA">
        <w:t xml:space="preserve"> on their access</w:t>
      </w:r>
      <w:r>
        <w:t xml:space="preserve"> to the labour market, and older men and women generally, are more likely to have estimated average incomes above the repayment threshold</w:t>
      </w:r>
      <w:r w:rsidR="00A31C85">
        <w:t xml:space="preserve"> one year</w:t>
      </w:r>
      <w:r>
        <w:t xml:space="preserve"> after graduating, compared to their</w:t>
      </w:r>
      <w:r w:rsidR="009901BA">
        <w:t xml:space="preserve"> respective </w:t>
      </w:r>
      <w:r>
        <w:t>counterparts</w:t>
      </w:r>
      <w:r w:rsidR="009901BA">
        <w:t xml:space="preserve">. </w:t>
      </w:r>
      <w:r w:rsidR="00E70359">
        <w:t>But</w:t>
      </w:r>
      <w:r>
        <w:t xml:space="preserve"> </w:t>
      </w:r>
      <w:r w:rsidR="005E6E13">
        <w:t xml:space="preserve">within five years, most groups </w:t>
      </w:r>
      <w:r w:rsidR="005665AE">
        <w:t xml:space="preserve">graduating with a certificate-level qualification have </w:t>
      </w:r>
      <w:r>
        <w:t xml:space="preserve">estimated average incomes above the repayment threshold, even if only slightly above. </w:t>
      </w:r>
    </w:p>
    <w:p w:rsidR="005665AE" w:rsidRDefault="005665AE" w:rsidP="004C30D8">
      <w:pPr>
        <w:pStyle w:val="BodyText"/>
      </w:pPr>
      <w:r>
        <w:t>Whereas all bachelors graduates, and most diploma graduates, with incomes at the bottom quarter of the income distribution for their group, had high enough incomes to be obliged to start to repay their student loans, c</w:t>
      </w:r>
      <w:r w:rsidR="009901BA">
        <w:t xml:space="preserve">ertificate-level graduates with incomes </w:t>
      </w:r>
      <w:r>
        <w:t>at the 25</w:t>
      </w:r>
      <w:r w:rsidRPr="009901BA">
        <w:rPr>
          <w:vertAlign w:val="superscript"/>
        </w:rPr>
        <w:t>th</w:t>
      </w:r>
      <w:r>
        <w:t xml:space="preserve"> percentile for their group </w:t>
      </w:r>
      <w:r w:rsidR="009901BA">
        <w:t xml:space="preserve">one year after completing </w:t>
      </w:r>
      <w:r w:rsidR="00AF5A5B">
        <w:t xml:space="preserve">don’t have incomes which cross the repayment threshold, so they </w:t>
      </w:r>
      <w:r w:rsidR="009901BA">
        <w:t>are</w:t>
      </w:r>
      <w:r>
        <w:t xml:space="preserve"> </w:t>
      </w:r>
      <w:r w:rsidR="009901BA">
        <w:t>not obliged to start to repay their student loans</w:t>
      </w:r>
      <w:r>
        <w:t>. Older student loan borrowers on a benefit also don’t reach the repayment threshold one year after completing a certificate if they have median or lower incomes for their group. Young men are again the exception—those with incomes at the 25</w:t>
      </w:r>
      <w:r w:rsidRPr="005665AE">
        <w:rPr>
          <w:vertAlign w:val="superscript"/>
        </w:rPr>
        <w:t>th</w:t>
      </w:r>
      <w:r>
        <w:t xml:space="preserve"> percentile generally are above the repayment threshold.</w:t>
      </w:r>
    </w:p>
    <w:p w:rsidR="004C30D8" w:rsidRDefault="00F51D0C" w:rsidP="004C30D8">
      <w:pPr>
        <w:pStyle w:val="BodyText"/>
      </w:pPr>
      <w:r>
        <w:t xml:space="preserve">Most groups </w:t>
      </w:r>
      <w:r w:rsidR="004C30D8">
        <w:t xml:space="preserve">who study for but don’t complete </w:t>
      </w:r>
      <w:r w:rsidR="004C30D8" w:rsidRPr="00AF5A5B">
        <w:rPr>
          <w:b/>
        </w:rPr>
        <w:t xml:space="preserve">qualifications below the level of a </w:t>
      </w:r>
      <w:proofErr w:type="gramStart"/>
      <w:r w:rsidR="004C30D8" w:rsidRPr="00AF5A5B">
        <w:rPr>
          <w:b/>
        </w:rPr>
        <w:t>bachelors</w:t>
      </w:r>
      <w:proofErr w:type="gramEnd"/>
      <w:r w:rsidR="004C30D8">
        <w:t xml:space="preserve"> degree don’t have </w:t>
      </w:r>
      <w:r w:rsidR="00A31C85">
        <w:t xml:space="preserve">average </w:t>
      </w:r>
      <w:r w:rsidR="004C30D8">
        <w:t xml:space="preserve">incomes above the repayment threshold one year after completing study. However, since incomes rise with time, </w:t>
      </w:r>
      <w:r w:rsidR="00A31C85">
        <w:t xml:space="preserve">most non-completers, other than young women, </w:t>
      </w:r>
      <w:r w:rsidR="004C30D8">
        <w:t xml:space="preserve">have </w:t>
      </w:r>
      <w:r w:rsidR="00A31C85">
        <w:t xml:space="preserve">average </w:t>
      </w:r>
      <w:r w:rsidR="004C30D8">
        <w:t>incomes above the repayment threshold within five years after study.</w:t>
      </w:r>
    </w:p>
    <w:p w:rsidR="00A31C85" w:rsidRDefault="00A31C85" w:rsidP="00A31C85">
      <w:pPr>
        <w:pStyle w:val="BodyText"/>
      </w:pPr>
      <w:r>
        <w:t xml:space="preserve">Since incomes are generally rising over time, if someone already has an income that is above the student loan repayment threshold, then notwithstanding any circumstances which might reduce their income, they will </w:t>
      </w:r>
      <w:r w:rsidR="00F51D0C">
        <w:t xml:space="preserve">continue to </w:t>
      </w:r>
      <w:r>
        <w:t>have sufficient income to be obliged to start to repay their loan. This is independent of what level of qualification they study and whether they complete that qualification or not.</w:t>
      </w:r>
    </w:p>
    <w:p w:rsidR="004C30D8" w:rsidRDefault="004C30D8" w:rsidP="004C30D8">
      <w:pPr>
        <w:pStyle w:val="BodyText"/>
      </w:pPr>
      <w:r>
        <w:t>All these results are contingent on a person gaining employment after completing their study.</w:t>
      </w:r>
      <w:r w:rsidR="005665AE">
        <w:rPr>
          <w:rStyle w:val="FootnoteReference"/>
        </w:rPr>
        <w:footnoteReference w:id="1"/>
      </w:r>
      <w:r>
        <w:t xml:space="preserve"> Similarly, </w:t>
      </w:r>
      <w:r w:rsidR="00F51D0C">
        <w:t xml:space="preserve">personal </w:t>
      </w:r>
      <w:r>
        <w:t>motivation, persistence and ability will also play a role, both in terms of gaining employment, and in the level of remuneration received, independent of the level of tertiary study undertaken.</w:t>
      </w:r>
    </w:p>
    <w:p w:rsidR="00100D04" w:rsidRDefault="00417976" w:rsidP="00834BEE">
      <w:pPr>
        <w:pStyle w:val="BodyText"/>
      </w:pPr>
      <w:r>
        <w:t xml:space="preserve">It is likely that the subject </w:t>
      </w:r>
      <w:r w:rsidR="00340FF3">
        <w:t>of the qualification also plays a role</w:t>
      </w:r>
      <w:r w:rsidR="00817534">
        <w:t xml:space="preserve">—for example, </w:t>
      </w:r>
      <w:r w:rsidR="00D96958">
        <w:t xml:space="preserve">whether the qualification completed was in </w:t>
      </w:r>
      <w:r w:rsidR="00817534">
        <w:t>engineering</w:t>
      </w:r>
      <w:r w:rsidR="00D96958">
        <w:t xml:space="preserve"> </w:t>
      </w:r>
      <w:r w:rsidR="00817534">
        <w:t>or nursing</w:t>
      </w:r>
      <w:r w:rsidR="00340FF3">
        <w:t>. However, our analysis finds there are strong associations between the subject studied and gender, and to some extent age, and this association is stronger for lower-level qualifications.</w:t>
      </w:r>
      <w:r w:rsidR="005665AE">
        <w:t xml:space="preserve"> </w:t>
      </w:r>
      <w:r w:rsidR="008E59D9">
        <w:t>So</w:t>
      </w:r>
      <w:r w:rsidR="005665AE">
        <w:t xml:space="preserve"> controlling for age and gender </w:t>
      </w:r>
      <w:r w:rsidR="008E59D9">
        <w:t xml:space="preserve">implicitly </w:t>
      </w:r>
      <w:r w:rsidR="005665AE">
        <w:t>controls for the subject of the qualification to a large extent.</w:t>
      </w:r>
    </w:p>
    <w:p w:rsidR="005010F3" w:rsidRDefault="00D911A0" w:rsidP="00834BEE">
      <w:pPr>
        <w:pStyle w:val="BodyText"/>
      </w:pPr>
      <w:r>
        <w:t xml:space="preserve">Any </w:t>
      </w:r>
      <w:r w:rsidR="008E59D9">
        <w:t xml:space="preserve">low-income </w:t>
      </w:r>
      <w:r w:rsidR="00D16AB4">
        <w:t>graduate student loan borrower</w:t>
      </w:r>
      <w:r>
        <w:t xml:space="preserve"> in our study populations may earn above the loan repayment threshold; it is just statistically more likely that someone completing a higher-level qualification will have this level of </w:t>
      </w:r>
      <w:r w:rsidR="008E59D9">
        <w:t xml:space="preserve">graduate </w:t>
      </w:r>
      <w:r>
        <w:t xml:space="preserve">income. Therefore, we cannot suggest that simply completing a higher-level qualification will </w:t>
      </w:r>
      <w:r w:rsidR="005E3FC4">
        <w:t>always</w:t>
      </w:r>
      <w:r>
        <w:t xml:space="preserve"> result in someone earning sufficient</w:t>
      </w:r>
      <w:r w:rsidR="00356C39">
        <w:t xml:space="preserve"> income</w:t>
      </w:r>
      <w:r>
        <w:t xml:space="preserve"> for them to be </w:t>
      </w:r>
      <w:r w:rsidR="00356C39">
        <w:t>obliged</w:t>
      </w:r>
      <w:r>
        <w:t xml:space="preserve"> to start paying off their student loan. </w:t>
      </w:r>
      <w:r w:rsidR="005010F3">
        <w:t xml:space="preserve">Like any </w:t>
      </w:r>
      <w:r w:rsidR="008E59D9">
        <w:t>research analysis</w:t>
      </w:r>
      <w:r w:rsidR="005010F3">
        <w:t xml:space="preserve"> that does not or cannot control for </w:t>
      </w:r>
      <w:r w:rsidR="00F51D0C">
        <w:t>personal</w:t>
      </w:r>
      <w:r w:rsidR="005010F3">
        <w:t xml:space="preserve"> characteristics, like motivation, ability, confidence—or indeed any factors systematically linked with the outcome of interest—there is always the possibility that the </w:t>
      </w:r>
      <w:r>
        <w:t xml:space="preserve">factors </w:t>
      </w:r>
      <w:r>
        <w:rPr>
          <w:i/>
        </w:rPr>
        <w:t xml:space="preserve">causing </w:t>
      </w:r>
      <w:r>
        <w:t xml:space="preserve">the </w:t>
      </w:r>
      <w:r w:rsidR="005010F3">
        <w:t xml:space="preserve">changes in income we observed for people </w:t>
      </w:r>
      <w:r w:rsidR="005010F3">
        <w:lastRenderedPageBreak/>
        <w:t xml:space="preserve">completing a tertiary qualification are due to these unobserved factors. </w:t>
      </w:r>
      <w:r>
        <w:t>That the step change</w:t>
      </w:r>
      <w:r w:rsidR="00356C39">
        <w:t>s</w:t>
      </w:r>
      <w:r>
        <w:t xml:space="preserve"> in</w:t>
      </w:r>
      <w:r w:rsidR="00F51D0C">
        <w:t xml:space="preserve"> average</w:t>
      </w:r>
      <w:r>
        <w:t xml:space="preserve"> income</w:t>
      </w:r>
      <w:r w:rsidR="00AC1F6D">
        <w:t xml:space="preserve"> we observed in our study</w:t>
      </w:r>
      <w:r>
        <w:t xml:space="preserve"> </w:t>
      </w:r>
      <w:r w:rsidR="00356C39">
        <w:t>are</w:t>
      </w:r>
      <w:r>
        <w:t xml:space="preserve"> linked </w:t>
      </w:r>
      <w:r w:rsidR="00AF5A5B">
        <w:t>in time</w:t>
      </w:r>
      <w:r>
        <w:t xml:space="preserve"> to the qualification completion event is </w:t>
      </w:r>
      <w:r w:rsidR="008A3DB1">
        <w:t>not in question</w:t>
      </w:r>
      <w:r>
        <w:t xml:space="preserve">. But it might be that any intelligent, motivated and confident person completing </w:t>
      </w:r>
      <w:r>
        <w:rPr>
          <w:i/>
        </w:rPr>
        <w:t xml:space="preserve">any </w:t>
      </w:r>
      <w:r>
        <w:t>qualification will have a high</w:t>
      </w:r>
      <w:r w:rsidR="008E59D9">
        <w:t>er</w:t>
      </w:r>
      <w:r>
        <w:t xml:space="preserve"> income after graduating. </w:t>
      </w:r>
      <w:r w:rsidR="00356C39">
        <w:t>The</w:t>
      </w:r>
      <w:r w:rsidR="00F51D0C">
        <w:t xml:space="preserve"> differe</w:t>
      </w:r>
      <w:r w:rsidR="008E59D9">
        <w:t xml:space="preserve">nt incomes we see for people graduating with different </w:t>
      </w:r>
      <w:r w:rsidR="00F51D0C">
        <w:t xml:space="preserve">levels of qualification </w:t>
      </w:r>
      <w:r w:rsidR="00AC1F6D">
        <w:t xml:space="preserve">might </w:t>
      </w:r>
      <w:r>
        <w:t xml:space="preserve">just </w:t>
      </w:r>
      <w:r w:rsidR="00AC1F6D">
        <w:t xml:space="preserve">be </w:t>
      </w:r>
      <w:r w:rsidR="00D16AB4">
        <w:t>because</w:t>
      </w:r>
      <w:r w:rsidR="00356C39">
        <w:t xml:space="preserve"> </w:t>
      </w:r>
      <w:r w:rsidR="00AC1F6D">
        <w:t>a higher proportion of able and motivated</w:t>
      </w:r>
      <w:r>
        <w:t xml:space="preserve"> people choose to study at </w:t>
      </w:r>
      <w:proofErr w:type="gramStart"/>
      <w:r>
        <w:t>bachelors</w:t>
      </w:r>
      <w:proofErr w:type="gramEnd"/>
      <w:r>
        <w:t xml:space="preserve"> level</w:t>
      </w:r>
      <w:r w:rsidR="00AC1F6D">
        <w:t>, so on average, their graduate incomes will be higher than those who choose to study at lower levels.</w:t>
      </w:r>
    </w:p>
    <w:p w:rsidR="00A33857" w:rsidRDefault="005010F3" w:rsidP="005665AE">
      <w:pPr>
        <w:pStyle w:val="BodyText"/>
      </w:pPr>
      <w:r>
        <w:t xml:space="preserve">These caveats apply to any research findings that do not </w:t>
      </w:r>
      <w:r w:rsidR="008E59D9">
        <w:t xml:space="preserve">or cannot </w:t>
      </w:r>
      <w:r>
        <w:t>control for these unobserved human characteristics.</w:t>
      </w:r>
    </w:p>
    <w:p w:rsidR="005C29D0" w:rsidRDefault="005C29D0" w:rsidP="005C29D0">
      <w:pPr>
        <w:pStyle w:val="Heading3"/>
      </w:pPr>
      <w:r>
        <w:t>Glossary of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8"/>
        <w:gridCol w:w="6275"/>
      </w:tblGrid>
      <w:tr w:rsidR="005C29D0" w:rsidRPr="001506C4" w:rsidTr="00734B53">
        <w:tc>
          <w:tcPr>
            <w:tcW w:w="2338" w:type="dxa"/>
          </w:tcPr>
          <w:p w:rsidR="005C29D0" w:rsidRPr="001506C4" w:rsidRDefault="005C29D0" w:rsidP="001506C4">
            <w:pPr>
              <w:spacing w:before="40" w:after="40"/>
              <w:rPr>
                <w:rFonts w:ascii="Arial" w:hAnsi="Arial" w:cs="Arial"/>
                <w:sz w:val="16"/>
              </w:rPr>
            </w:pPr>
            <w:r w:rsidRPr="001506C4">
              <w:rPr>
                <w:rFonts w:ascii="Arial" w:hAnsi="Arial" w:cs="Arial"/>
                <w:sz w:val="16"/>
              </w:rPr>
              <w:t>Annual change in income</w:t>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The increase in income someone experiences due to pay rises, or cost-of-living adjustments to their salary or income. The annual change in income might be different before and after someone studies</w:t>
            </w:r>
            <w:r w:rsidR="00B72806" w:rsidRPr="001506C4">
              <w:rPr>
                <w:rFonts w:ascii="Arial" w:hAnsi="Arial" w:cs="Arial"/>
                <w:sz w:val="16"/>
              </w:rPr>
              <w:t>, and before and after someone completes a qualification</w:t>
            </w:r>
            <w:r w:rsidRPr="001506C4">
              <w:rPr>
                <w:rFonts w:ascii="Arial" w:hAnsi="Arial" w:cs="Arial"/>
                <w:sz w:val="16"/>
              </w:rPr>
              <w:t>.</w:t>
            </w:r>
          </w:p>
        </w:tc>
      </w:tr>
      <w:tr w:rsidR="005C29D0" w:rsidRPr="001506C4" w:rsidTr="00734B53">
        <w:tc>
          <w:tcPr>
            <w:tcW w:w="2338" w:type="dxa"/>
          </w:tcPr>
          <w:p w:rsidR="005C29D0" w:rsidRPr="001506C4" w:rsidRDefault="005C29D0" w:rsidP="001506C4">
            <w:pPr>
              <w:spacing w:before="40" w:after="40"/>
              <w:rPr>
                <w:rFonts w:ascii="Arial" w:hAnsi="Arial" w:cs="Arial"/>
                <w:caps/>
                <w:sz w:val="16"/>
              </w:rPr>
            </w:pPr>
            <w:r w:rsidRPr="001506C4">
              <w:rPr>
                <w:rFonts w:ascii="Arial" w:hAnsi="Arial" w:cs="Arial"/>
                <w:sz w:val="16"/>
              </w:rPr>
              <w:t>Complete a qualification</w:t>
            </w:r>
            <w:r w:rsidRPr="001506C4">
              <w:rPr>
                <w:rFonts w:ascii="Arial" w:hAnsi="Arial" w:cs="Arial"/>
                <w:sz w:val="16"/>
              </w:rPr>
              <w:br w:type="page"/>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 xml:space="preserve">Studies for and is awarded </w:t>
            </w:r>
            <w:r w:rsidR="002B4AB4" w:rsidRPr="001506C4">
              <w:rPr>
                <w:rFonts w:ascii="Arial" w:hAnsi="Arial" w:cs="Arial"/>
                <w:sz w:val="16"/>
              </w:rPr>
              <w:t>a</w:t>
            </w:r>
            <w:r w:rsidRPr="001506C4">
              <w:rPr>
                <w:rFonts w:ascii="Arial" w:hAnsi="Arial" w:cs="Arial"/>
                <w:sz w:val="16"/>
              </w:rPr>
              <w:t xml:space="preserve"> qualification at the end of </w:t>
            </w:r>
            <w:r w:rsidR="002B4AB4" w:rsidRPr="001506C4">
              <w:rPr>
                <w:rFonts w:ascii="Arial" w:hAnsi="Arial" w:cs="Arial"/>
                <w:sz w:val="16"/>
              </w:rPr>
              <w:t xml:space="preserve">a period of </w:t>
            </w:r>
            <w:r w:rsidRPr="001506C4">
              <w:rPr>
                <w:rFonts w:ascii="Arial" w:hAnsi="Arial" w:cs="Arial"/>
                <w:sz w:val="16"/>
              </w:rPr>
              <w:t>study.</w:t>
            </w:r>
          </w:p>
        </w:tc>
      </w:tr>
      <w:tr w:rsidR="005C29D0" w:rsidRPr="001506C4" w:rsidTr="00734B53">
        <w:tc>
          <w:tcPr>
            <w:tcW w:w="2338" w:type="dxa"/>
          </w:tcPr>
          <w:p w:rsidR="005C29D0" w:rsidRPr="001506C4" w:rsidRDefault="005C29D0" w:rsidP="001506C4">
            <w:pPr>
              <w:spacing w:before="40" w:after="40"/>
              <w:rPr>
                <w:rFonts w:ascii="Arial" w:hAnsi="Arial" w:cs="Arial"/>
                <w:sz w:val="16"/>
              </w:rPr>
            </w:pPr>
            <w:r w:rsidRPr="001506C4">
              <w:rPr>
                <w:rFonts w:ascii="Arial" w:hAnsi="Arial" w:cs="Arial"/>
                <w:sz w:val="16"/>
              </w:rPr>
              <w:t>Pre-study income</w:t>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The income for someone who is not studying, and for most people in the study population, before they complete a qualification.</w:t>
            </w:r>
          </w:p>
        </w:tc>
      </w:tr>
      <w:tr w:rsidR="005C29D0" w:rsidRPr="001506C4" w:rsidTr="00734B53">
        <w:tc>
          <w:tcPr>
            <w:tcW w:w="2338" w:type="dxa"/>
          </w:tcPr>
          <w:p w:rsidR="005C29D0" w:rsidRPr="001506C4" w:rsidRDefault="005C29D0" w:rsidP="001506C4">
            <w:pPr>
              <w:spacing w:before="40" w:after="40"/>
              <w:rPr>
                <w:rFonts w:ascii="Arial" w:hAnsi="Arial" w:cs="Arial"/>
                <w:sz w:val="16"/>
              </w:rPr>
            </w:pPr>
            <w:r w:rsidRPr="001506C4">
              <w:rPr>
                <w:rFonts w:ascii="Arial" w:hAnsi="Arial" w:cs="Arial"/>
                <w:sz w:val="16"/>
              </w:rPr>
              <w:t>Post-completion income</w:t>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The income for someone who has studied and completed a qualification, and is not studying currently.</w:t>
            </w:r>
          </w:p>
        </w:tc>
      </w:tr>
      <w:tr w:rsidR="005C29D0" w:rsidRPr="001506C4" w:rsidTr="00734B53">
        <w:tc>
          <w:tcPr>
            <w:tcW w:w="2338" w:type="dxa"/>
          </w:tcPr>
          <w:p w:rsidR="005C29D0" w:rsidRPr="001506C4" w:rsidRDefault="005C29D0" w:rsidP="001506C4">
            <w:pPr>
              <w:spacing w:before="40" w:after="40"/>
              <w:rPr>
                <w:rFonts w:ascii="Arial" w:hAnsi="Arial" w:cs="Arial"/>
                <w:sz w:val="16"/>
              </w:rPr>
            </w:pPr>
            <w:r w:rsidRPr="001506C4">
              <w:rPr>
                <w:rFonts w:ascii="Arial" w:hAnsi="Arial" w:cs="Arial"/>
                <w:sz w:val="16"/>
              </w:rPr>
              <w:t>Post-study income</w:t>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The income for someone who has studied, but is not currently</w:t>
            </w:r>
            <w:r w:rsidR="002B4AB4" w:rsidRPr="001506C4">
              <w:rPr>
                <w:rFonts w:ascii="Arial" w:hAnsi="Arial" w:cs="Arial"/>
                <w:sz w:val="16"/>
              </w:rPr>
              <w:t xml:space="preserve"> studying</w:t>
            </w:r>
            <w:r w:rsidRPr="001506C4">
              <w:rPr>
                <w:rFonts w:ascii="Arial" w:hAnsi="Arial" w:cs="Arial"/>
                <w:sz w:val="16"/>
              </w:rPr>
              <w:t>.</w:t>
            </w:r>
          </w:p>
        </w:tc>
      </w:tr>
      <w:tr w:rsidR="005C29D0" w:rsidRPr="001506C4" w:rsidTr="00734B53">
        <w:trPr>
          <w:trHeight w:val="80"/>
        </w:trPr>
        <w:tc>
          <w:tcPr>
            <w:tcW w:w="2338" w:type="dxa"/>
          </w:tcPr>
          <w:p w:rsidR="005C29D0" w:rsidRPr="001506C4" w:rsidRDefault="005C29D0" w:rsidP="001506C4">
            <w:pPr>
              <w:spacing w:before="40" w:after="40"/>
              <w:rPr>
                <w:rFonts w:ascii="Arial" w:hAnsi="Arial" w:cs="Arial"/>
                <w:sz w:val="16"/>
              </w:rPr>
            </w:pPr>
            <w:r w:rsidRPr="001506C4">
              <w:rPr>
                <w:rFonts w:ascii="Arial" w:hAnsi="Arial" w:cs="Arial"/>
                <w:sz w:val="16"/>
              </w:rPr>
              <w:t>Step increase in income</w:t>
            </w:r>
          </w:p>
        </w:tc>
        <w:tc>
          <w:tcPr>
            <w:tcW w:w="6275" w:type="dxa"/>
          </w:tcPr>
          <w:p w:rsidR="005C29D0" w:rsidRPr="001506C4" w:rsidRDefault="005C29D0" w:rsidP="001506C4">
            <w:pPr>
              <w:pStyle w:val="BodyText"/>
              <w:spacing w:before="40" w:after="40"/>
              <w:rPr>
                <w:rFonts w:ascii="Arial" w:hAnsi="Arial" w:cs="Arial"/>
                <w:sz w:val="16"/>
              </w:rPr>
            </w:pPr>
            <w:r w:rsidRPr="001506C4">
              <w:rPr>
                <w:rFonts w:ascii="Arial" w:hAnsi="Arial" w:cs="Arial"/>
                <w:sz w:val="16"/>
              </w:rPr>
              <w:t xml:space="preserve">A one-off change (usually an increase) in income due to </w:t>
            </w:r>
            <w:r w:rsidR="00941FC4" w:rsidRPr="001506C4">
              <w:rPr>
                <w:rFonts w:ascii="Arial" w:hAnsi="Arial" w:cs="Arial"/>
                <w:sz w:val="16"/>
              </w:rPr>
              <w:t xml:space="preserve">a person </w:t>
            </w:r>
            <w:r w:rsidRPr="001506C4">
              <w:rPr>
                <w:rFonts w:ascii="Arial" w:hAnsi="Arial" w:cs="Arial"/>
                <w:sz w:val="16"/>
              </w:rPr>
              <w:t xml:space="preserve">changing jobs, </w:t>
            </w:r>
            <w:r w:rsidR="002B4AB4" w:rsidRPr="001506C4">
              <w:rPr>
                <w:rFonts w:ascii="Arial" w:hAnsi="Arial" w:cs="Arial"/>
                <w:sz w:val="16"/>
              </w:rPr>
              <w:t>receiving a</w:t>
            </w:r>
            <w:r w:rsidRPr="001506C4">
              <w:rPr>
                <w:rFonts w:ascii="Arial" w:hAnsi="Arial" w:cs="Arial"/>
                <w:sz w:val="16"/>
              </w:rPr>
              <w:t xml:space="preserve"> promotion, or </w:t>
            </w:r>
            <w:r w:rsidR="00941FC4" w:rsidRPr="001506C4">
              <w:rPr>
                <w:rFonts w:ascii="Arial" w:hAnsi="Arial" w:cs="Arial"/>
                <w:sz w:val="16"/>
              </w:rPr>
              <w:t>being paid</w:t>
            </w:r>
            <w:r w:rsidR="002B4AB4" w:rsidRPr="001506C4">
              <w:rPr>
                <w:rFonts w:ascii="Arial" w:hAnsi="Arial" w:cs="Arial"/>
                <w:sz w:val="16"/>
              </w:rPr>
              <w:t xml:space="preserve"> a </w:t>
            </w:r>
            <w:r w:rsidRPr="001506C4">
              <w:rPr>
                <w:rFonts w:ascii="Arial" w:hAnsi="Arial" w:cs="Arial"/>
                <w:sz w:val="16"/>
              </w:rPr>
              <w:t>bonus.</w:t>
            </w:r>
            <w:r w:rsidR="002B4AB4" w:rsidRPr="001506C4">
              <w:rPr>
                <w:rFonts w:ascii="Arial" w:hAnsi="Arial" w:cs="Arial"/>
                <w:sz w:val="16"/>
              </w:rPr>
              <w:t xml:space="preserve"> It might also come about by someone entering or re-entering the work force.</w:t>
            </w:r>
          </w:p>
        </w:tc>
      </w:tr>
    </w:tbl>
    <w:p w:rsidR="00E75A53" w:rsidRDefault="00E75A53" w:rsidP="00FE02A6">
      <w:pPr>
        <w:pStyle w:val="BodyText"/>
        <w:spacing w:before="240" w:after="120"/>
      </w:pPr>
      <w:r>
        <w:t>These concepts are illustrated graphically below for someone completing a qualification.</w:t>
      </w:r>
    </w:p>
    <w:p w:rsidR="005C29D0" w:rsidRDefault="00941FC4" w:rsidP="00DF3A6C">
      <w:pPr>
        <w:ind w:left="-284"/>
        <w:rPr>
          <w:rFonts w:ascii="Arial" w:hAnsi="Arial"/>
          <w:caps/>
          <w:sz w:val="32"/>
        </w:rPr>
      </w:pPr>
      <w:r w:rsidRPr="00941FC4">
        <w:rPr>
          <w:rFonts w:ascii="Arial" w:hAnsi="Arial"/>
          <w:caps/>
          <w:noProof/>
          <w:sz w:val="32"/>
          <w:lang w:eastAsia="en-NZ"/>
        </w:rPr>
        <w:drawing>
          <wp:inline distT="0" distB="0" distL="0" distR="0">
            <wp:extent cx="5701876" cy="3867150"/>
            <wp:effectExtent l="0" t="0" r="0" b="0"/>
            <wp:docPr id="1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5729" cy="4473788"/>
                      <a:chOff x="1329135" y="1192106"/>
                      <a:chExt cx="6485729" cy="4473788"/>
                    </a:xfrm>
                  </a:grpSpPr>
                  <a:sp>
                    <a:nvSpPr>
                      <a:cNvPr id="4" name="Straight Connector 3"/>
                      <a:cNvSpPr/>
                    </a:nvSpPr>
                    <a:spPr>
                      <a:xfrm flipV="1">
                        <a:off x="3921423" y="2848290"/>
                        <a:ext cx="432048" cy="792088"/>
                      </a:xfrm>
                      <a:prstGeom prst="line">
                        <a:avLst/>
                      </a:prstGeom>
                      <a:ln w="25400">
                        <a:solidFill>
                          <a:schemeClr val="tx1"/>
                        </a:solidFill>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1">
                        <a:schemeClr val="accent3"/>
                      </a:lnRef>
                      <a:fillRef idx="0">
                        <a:schemeClr val="accent3"/>
                      </a:fillRef>
                      <a:effectRef idx="0">
                        <a:schemeClr val="accent3"/>
                      </a:effectRef>
                      <a:fontRef idx="minor">
                        <a:schemeClr val="tx1"/>
                      </a:fontRef>
                    </a:style>
                  </a:sp>
                  <a:sp>
                    <a:nvSpPr>
                      <a:cNvPr id="5" name="Straight Connector 4"/>
                      <a:cNvSpPr/>
                    </a:nvSpPr>
                    <a:spPr>
                      <a:xfrm flipV="1">
                        <a:off x="4353471" y="1552146"/>
                        <a:ext cx="3096344" cy="1296144"/>
                      </a:xfrm>
                      <a:prstGeom prst="line">
                        <a:avLst/>
                      </a:prstGeom>
                      <a:ln w="25400">
                        <a:solidFill>
                          <a:schemeClr val="tx1"/>
                        </a:solidFill>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1">
                        <a:schemeClr val="accent6"/>
                      </a:lnRef>
                      <a:fillRef idx="0">
                        <a:schemeClr val="accent6"/>
                      </a:fillRef>
                      <a:effectRef idx="0">
                        <a:schemeClr val="accent6"/>
                      </a:effectRef>
                      <a:fontRef idx="minor">
                        <a:schemeClr val="tx1"/>
                      </a:fontRef>
                    </a:style>
                  </a:sp>
                  <a:sp>
                    <a:nvSpPr>
                      <a:cNvPr id="6" name="TextBox 30"/>
                      <a:cNvSpPr txBox="1"/>
                    </a:nvSpPr>
                    <a:spPr>
                      <a:xfrm>
                        <a:off x="3489375" y="4720498"/>
                        <a:ext cx="936104"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Qualification c</a:t>
                          </a:r>
                          <a:r>
                            <a:rPr lang="en-NZ" sz="1100" dirty="0" smtClean="0"/>
                            <a:t>ompletion </a:t>
                          </a:r>
                          <a:r>
                            <a:rPr lang="en-NZ" sz="1100" dirty="0" smtClean="0"/>
                            <a:t>event</a:t>
                          </a:r>
                          <a:endParaRPr lang="en-NZ" sz="1100" dirty="0"/>
                        </a:p>
                      </a:txBody>
                      <a:useSpRect/>
                    </a:txSp>
                  </a:sp>
                  <a:sp>
                    <a:nvSpPr>
                      <a:cNvPr id="7" name="Straight Connector 6"/>
                      <a:cNvSpPr/>
                    </a:nvSpPr>
                    <a:spPr>
                      <a:xfrm flipV="1">
                        <a:off x="1905199" y="3640378"/>
                        <a:ext cx="2016224" cy="288032"/>
                      </a:xfrm>
                      <a:prstGeom prst="line">
                        <a:avLst/>
                      </a:prstGeom>
                      <a:ln w="25400">
                        <a:solidFill>
                          <a:schemeClr val="tx1"/>
                        </a:solidFill>
                      </a:ln>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tyle>
                      <a:lnRef idx="1">
                        <a:schemeClr val="accent6"/>
                      </a:lnRef>
                      <a:fillRef idx="0">
                        <a:schemeClr val="accent6"/>
                      </a:fillRef>
                      <a:effectRef idx="0">
                        <a:schemeClr val="accent6"/>
                      </a:effectRef>
                      <a:fontRef idx="minor">
                        <a:schemeClr val="tx1"/>
                      </a:fontRef>
                    </a:style>
                  </a:sp>
                  <a:sp>
                    <a:nvSpPr>
                      <a:cNvPr id="8" name="TextBox 15"/>
                      <a:cNvSpPr txBox="1"/>
                    </a:nvSpPr>
                    <a:spPr>
                      <a:xfrm>
                        <a:off x="5073551" y="4720498"/>
                        <a:ext cx="1656184"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Post-completion period</a:t>
                          </a:r>
                          <a:endParaRPr lang="en-NZ" sz="1100" dirty="0"/>
                        </a:p>
                      </a:txBody>
                      <a:useSpRect/>
                    </a:txSp>
                  </a:sp>
                  <a:sp>
                    <a:nvSpPr>
                      <a:cNvPr id="9" name="TextBox 16"/>
                      <a:cNvSpPr txBox="1"/>
                    </a:nvSpPr>
                    <a:spPr>
                      <a:xfrm>
                        <a:off x="2049215" y="4720498"/>
                        <a:ext cx="1440160" cy="2616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Pre-study period</a:t>
                          </a:r>
                          <a:endParaRPr lang="en-NZ" sz="1100" dirty="0"/>
                        </a:p>
                      </a:txBody>
                      <a:useSpRect/>
                    </a:txSp>
                  </a:sp>
                  <a:cxnSp>
                    <a:nvCxnSpPr>
                      <a:cNvPr id="10" name="Straight Connector 9"/>
                      <a:cNvCxnSpPr/>
                    </a:nvCxnSpPr>
                    <a:spPr>
                      <a:xfrm>
                        <a:off x="1905199" y="1192106"/>
                        <a:ext cx="0" cy="3384376"/>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flipH="1">
                        <a:off x="1918592" y="4576482"/>
                        <a:ext cx="5896272" cy="838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flipH="1">
                        <a:off x="3917975" y="4576482"/>
                        <a:ext cx="3448" cy="160076"/>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2409255" y="3856402"/>
                        <a:ext cx="999729"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a:off x="5219309" y="2497414"/>
                        <a:ext cx="864096"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flipH="1" flipV="1">
                        <a:off x="6295292" y="2016369"/>
                        <a:ext cx="4900" cy="476527"/>
                      </a:xfrm>
                      <a:prstGeom prst="line">
                        <a:avLst/>
                      </a:prstGeom>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flipV="1">
                        <a:off x="3417367" y="3712386"/>
                        <a:ext cx="0" cy="144016"/>
                      </a:xfrm>
                      <a:prstGeom prst="line">
                        <a:avLst/>
                      </a:prstGeom>
                    </a:spPr>
                    <a:style>
                      <a:lnRef idx="1">
                        <a:schemeClr val="accent1"/>
                      </a:lnRef>
                      <a:fillRef idx="0">
                        <a:schemeClr val="accent1"/>
                      </a:fillRef>
                      <a:effectRef idx="0">
                        <a:schemeClr val="accent1"/>
                      </a:effectRef>
                      <a:fontRef idx="minor">
                        <a:schemeClr val="tx1"/>
                      </a:fontRef>
                    </a:style>
                  </a:cxnSp>
                  <a:sp>
                    <a:nvSpPr>
                      <a:cNvPr id="17" name="TextBox 42"/>
                      <a:cNvSpPr txBox="1"/>
                    </a:nvSpPr>
                    <a:spPr>
                      <a:xfrm>
                        <a:off x="3278360" y="3666655"/>
                        <a:ext cx="144016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Pre-study annual increase</a:t>
                          </a:r>
                          <a:endParaRPr lang="en-NZ" sz="1100" dirty="0"/>
                        </a:p>
                      </a:txBody>
                      <a:useSpRect/>
                    </a:txSp>
                  </a:sp>
                  <a:sp>
                    <a:nvSpPr>
                      <a:cNvPr id="18" name="TextBox 43"/>
                      <a:cNvSpPr txBox="1"/>
                    </a:nvSpPr>
                    <a:spPr>
                      <a:xfrm>
                        <a:off x="6300192" y="2060848"/>
                        <a:ext cx="144016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Post-completion annual increase</a:t>
                          </a:r>
                          <a:endParaRPr lang="en-NZ" sz="1100" dirty="0"/>
                        </a:p>
                      </a:txBody>
                      <a:useSpRect/>
                    </a:txSp>
                  </a:sp>
                  <a:cxnSp>
                    <a:nvCxnSpPr>
                      <a:cNvPr id="19" name="Straight Connector 18"/>
                      <a:cNvCxnSpPr>
                        <a:endCxn id="4" idx="1"/>
                      </a:cNvCxnSpPr>
                    </a:nvCxnSpPr>
                    <a:spPr>
                      <a:xfrm flipV="1">
                        <a:off x="4348390" y="2848290"/>
                        <a:ext cx="5081" cy="786263"/>
                      </a:xfrm>
                      <a:prstGeom prst="line">
                        <a:avLst/>
                      </a:prstGeom>
                    </a:spPr>
                    <a:style>
                      <a:lnRef idx="1">
                        <a:schemeClr val="accent1"/>
                      </a:lnRef>
                      <a:fillRef idx="0">
                        <a:schemeClr val="accent1"/>
                      </a:fillRef>
                      <a:effectRef idx="0">
                        <a:schemeClr val="accent1"/>
                      </a:effectRef>
                      <a:fontRef idx="minor">
                        <a:schemeClr val="tx1"/>
                      </a:fontRef>
                    </a:style>
                  </a:cxnSp>
                  <a:cxnSp>
                    <a:nvCxnSpPr>
                      <a:cNvPr id="20" name="Straight Connector 19"/>
                      <a:cNvCxnSpPr>
                        <a:stCxn id="4" idx="0"/>
                      </a:cNvCxnSpPr>
                    </a:nvCxnSpPr>
                    <a:spPr>
                      <a:xfrm flipV="1">
                        <a:off x="3921423" y="3634553"/>
                        <a:ext cx="426967" cy="5825"/>
                      </a:xfrm>
                      <a:prstGeom prst="line">
                        <a:avLst/>
                      </a:prstGeom>
                    </a:spPr>
                    <a:style>
                      <a:lnRef idx="1">
                        <a:schemeClr val="accent1"/>
                      </a:lnRef>
                      <a:fillRef idx="0">
                        <a:schemeClr val="accent1"/>
                      </a:fillRef>
                      <a:effectRef idx="0">
                        <a:schemeClr val="accent1"/>
                      </a:effectRef>
                      <a:fontRef idx="minor">
                        <a:schemeClr val="tx1"/>
                      </a:fontRef>
                    </a:style>
                  </a:cxnSp>
                  <a:sp>
                    <a:nvSpPr>
                      <a:cNvPr id="21" name="TextBox 54"/>
                      <a:cNvSpPr txBox="1"/>
                    </a:nvSpPr>
                    <a:spPr>
                      <a:xfrm>
                        <a:off x="4353471" y="2992306"/>
                        <a:ext cx="1152128"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NZ" sz="1100" dirty="0" smtClean="0"/>
                            <a:t>Step-increase in income</a:t>
                          </a:r>
                          <a:endParaRPr lang="en-NZ" sz="1100" dirty="0"/>
                        </a:p>
                      </a:txBody>
                      <a:useSpRect/>
                    </a:txSp>
                  </a:sp>
                  <a:sp>
                    <a:nvSpPr>
                      <a:cNvPr id="22" name="TextBox 55"/>
                      <a:cNvSpPr txBox="1"/>
                    </a:nvSpPr>
                    <a:spPr>
                      <a:xfrm>
                        <a:off x="1329135" y="1192106"/>
                        <a:ext cx="461665" cy="890230"/>
                      </a:xfrm>
                      <a:prstGeom prst="rect">
                        <a:avLst/>
                      </a:prstGeom>
                      <a:noFill/>
                    </a:spPr>
                    <a:txSp>
                      <a:txBody>
                        <a:bodyPr vert="vert270"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NZ" dirty="0" smtClean="0"/>
                            <a:t>Income</a:t>
                          </a:r>
                          <a:endParaRPr lang="en-NZ" dirty="0"/>
                        </a:p>
                      </a:txBody>
                      <a:useSpRect/>
                    </a:txSp>
                  </a:sp>
                  <a:sp>
                    <a:nvSpPr>
                      <a:cNvPr id="23" name="TextBox 56"/>
                      <a:cNvSpPr txBox="1"/>
                    </a:nvSpPr>
                    <a:spPr>
                      <a:xfrm>
                        <a:off x="4065439" y="5296562"/>
                        <a:ext cx="648072" cy="369332"/>
                      </a:xfrm>
                      <a:prstGeom prst="rect">
                        <a:avLst/>
                      </a:prstGeom>
                      <a:noFill/>
                    </a:spPr>
                    <a:txSp>
                      <a:txBody>
                        <a:bodyPr vert="horz"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NZ" dirty="0" smtClean="0"/>
                            <a:t>Time</a:t>
                          </a:r>
                          <a:endParaRPr lang="en-NZ" dirty="0"/>
                        </a:p>
                      </a:txBody>
                      <a:useSpRect/>
                    </a:txSp>
                  </a:sp>
                  <a:cxnSp>
                    <a:nvCxnSpPr>
                      <a:cNvPr id="24" name="Straight Connector 23"/>
                      <a:cNvCxnSpPr/>
                    </a:nvCxnSpPr>
                    <a:spPr>
                      <a:xfrm>
                        <a:off x="5292080" y="2492896"/>
                        <a:ext cx="999729" cy="0"/>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D68DB" w:rsidRDefault="00555B89" w:rsidP="007436F3">
      <w:pPr>
        <w:pStyle w:val="Heading1"/>
      </w:pPr>
      <w:bookmarkStart w:id="2" w:name="_Toc386449898"/>
      <w:r>
        <w:lastRenderedPageBreak/>
        <w:t>Introduction</w:t>
      </w:r>
      <w:bookmarkEnd w:id="2"/>
      <w:r w:rsidR="00665610">
        <w:t xml:space="preserve"> </w:t>
      </w:r>
    </w:p>
    <w:p w:rsidR="004D03C9" w:rsidRDefault="00B12926" w:rsidP="00AF3B88">
      <w:pPr>
        <w:pStyle w:val="BodyText"/>
      </w:pPr>
      <w:r>
        <w:t xml:space="preserve">In New Zealand, people studying for a tertiary qualification are, in the main, entitled to take out a student loan to fund </w:t>
      </w:r>
      <w:r w:rsidR="00FB6CF2">
        <w:t>their</w:t>
      </w:r>
      <w:r>
        <w:t xml:space="preserve"> study.</w:t>
      </w:r>
      <w:r w:rsidR="003A7CFE">
        <w:rPr>
          <w:rStyle w:val="FootnoteReference"/>
        </w:rPr>
        <w:footnoteReference w:id="2"/>
      </w:r>
      <w:r>
        <w:t xml:space="preserve"> Unlike </w:t>
      </w:r>
      <w:r w:rsidR="003460BF">
        <w:t xml:space="preserve">some </w:t>
      </w:r>
      <w:r>
        <w:t>other countries</w:t>
      </w:r>
      <w:r w:rsidR="00FB6CF2">
        <w:t>,</w:t>
      </w:r>
      <w:r w:rsidR="00C32B41">
        <w:t xml:space="preserve"> </w:t>
      </w:r>
      <w:r w:rsidR="00A53454">
        <w:t xml:space="preserve">student loans in </w:t>
      </w:r>
      <w:r w:rsidR="003460BF">
        <w:t>New Zealand</w:t>
      </w:r>
      <w:r w:rsidR="00681122">
        <w:t xml:space="preserve"> are </w:t>
      </w:r>
      <w:r>
        <w:t>interest</w:t>
      </w:r>
      <w:r w:rsidR="00681122">
        <w:t>-free</w:t>
      </w:r>
      <w:r w:rsidR="00145D68">
        <w:t>,</w:t>
      </w:r>
      <w:r w:rsidR="00145D68">
        <w:rPr>
          <w:rStyle w:val="FootnoteReference"/>
        </w:rPr>
        <w:footnoteReference w:id="3"/>
      </w:r>
      <w:r w:rsidR="00145D68">
        <w:t xml:space="preserve"> </w:t>
      </w:r>
      <w:r>
        <w:t xml:space="preserve">and </w:t>
      </w:r>
      <w:r w:rsidR="00A53454">
        <w:t xml:space="preserve">there is </w:t>
      </w:r>
      <w:r w:rsidR="003800DE">
        <w:t xml:space="preserve">no </w:t>
      </w:r>
      <w:r w:rsidR="003460BF">
        <w:t>oblig</w:t>
      </w:r>
      <w:r w:rsidR="003800DE">
        <w:t>ation</w:t>
      </w:r>
      <w:r>
        <w:t xml:space="preserve"> to </w:t>
      </w:r>
      <w:r w:rsidR="005D6B8C">
        <w:t xml:space="preserve">start paying </w:t>
      </w:r>
      <w:r>
        <w:t>back th</w:t>
      </w:r>
      <w:r w:rsidR="00A53454">
        <w:t>e</w:t>
      </w:r>
      <w:r>
        <w:t xml:space="preserve"> </w:t>
      </w:r>
      <w:r w:rsidRPr="00681122">
        <w:t xml:space="preserve">loan until </w:t>
      </w:r>
      <w:r w:rsidR="00A53454">
        <w:t xml:space="preserve">the person’s </w:t>
      </w:r>
      <w:r w:rsidR="00681122" w:rsidRPr="00681122">
        <w:t>income reaches a threshold (</w:t>
      </w:r>
      <w:r w:rsidR="00921941">
        <w:t>it was</w:t>
      </w:r>
      <w:r w:rsidR="00681122">
        <w:t xml:space="preserve"> </w:t>
      </w:r>
      <w:r w:rsidR="00681122" w:rsidRPr="00681122">
        <w:t>$19,084 for the 2014 tax year)</w:t>
      </w:r>
      <w:r>
        <w:t xml:space="preserve">. </w:t>
      </w:r>
      <w:r w:rsidR="00681122">
        <w:t xml:space="preserve">For </w:t>
      </w:r>
      <w:r w:rsidR="00855FD8">
        <w:t xml:space="preserve">student loan </w:t>
      </w:r>
      <w:r w:rsidR="00681122">
        <w:t xml:space="preserve">borrowers who earn salaries or wages, </w:t>
      </w:r>
      <w:r>
        <w:t xml:space="preserve">repayments are </w:t>
      </w:r>
      <w:r w:rsidR="003A7CFE">
        <w:t>deducted</w:t>
      </w:r>
      <w:r>
        <w:t xml:space="preserve"> from </w:t>
      </w:r>
      <w:r w:rsidR="00681122">
        <w:t>their income by their employers</w:t>
      </w:r>
      <w:r w:rsidR="003460BF">
        <w:t xml:space="preserve">. </w:t>
      </w:r>
      <w:r>
        <w:t xml:space="preserve">However, </w:t>
      </w:r>
      <w:r w:rsidR="00760F28">
        <w:t xml:space="preserve">if a person’s income is below the student loan </w:t>
      </w:r>
      <w:r w:rsidR="00782D6B">
        <w:t>repayment</w:t>
      </w:r>
      <w:r w:rsidR="00760F28">
        <w:t xml:space="preserve"> </w:t>
      </w:r>
      <w:r>
        <w:t>threshold, there is no automatic deduction.</w:t>
      </w:r>
      <w:r w:rsidR="00BE3876">
        <w:rPr>
          <w:rStyle w:val="FootnoteReference"/>
        </w:rPr>
        <w:footnoteReference w:id="4"/>
      </w:r>
      <w:r w:rsidR="00756F1F" w:rsidRPr="00756F1F">
        <w:t xml:space="preserve"> </w:t>
      </w:r>
      <w:r w:rsidR="00756F1F">
        <w:t>Self-employed people with student loans are required to make regular loan repayments themselves if their income is above the repayment threshold.</w:t>
      </w:r>
    </w:p>
    <w:p w:rsidR="005D6B8C" w:rsidRDefault="00681122" w:rsidP="00AF3B88">
      <w:pPr>
        <w:pStyle w:val="BodyText"/>
      </w:pPr>
      <w:r>
        <w:t>T</w:t>
      </w:r>
      <w:r w:rsidR="008B6271">
        <w:t xml:space="preserve">he government </w:t>
      </w:r>
      <w:r w:rsidR="009436E1">
        <w:t>carries</w:t>
      </w:r>
      <w:r w:rsidR="008B6271">
        <w:t xml:space="preserve"> the liability </w:t>
      </w:r>
      <w:r w:rsidR="009436E1">
        <w:t xml:space="preserve">for </w:t>
      </w:r>
      <w:r w:rsidR="008B6271">
        <w:t>the</w:t>
      </w:r>
      <w:r w:rsidR="00855FD8">
        <w:t xml:space="preserve"> student</w:t>
      </w:r>
      <w:r w:rsidR="008B6271">
        <w:t xml:space="preserve"> loan </w:t>
      </w:r>
      <w:r w:rsidR="007809BA">
        <w:t>while it is not repaid</w:t>
      </w:r>
      <w:r w:rsidR="008B6271">
        <w:t xml:space="preserve">. </w:t>
      </w:r>
      <w:r w:rsidR="00673385">
        <w:t xml:space="preserve">One of the </w:t>
      </w:r>
      <w:r w:rsidR="003800DE">
        <w:t xml:space="preserve">main </w:t>
      </w:r>
      <w:r w:rsidR="00673385">
        <w:t xml:space="preserve">drivers of the </w:t>
      </w:r>
      <w:r w:rsidR="008B6271">
        <w:t xml:space="preserve">cost of </w:t>
      </w:r>
      <w:r w:rsidR="00921941">
        <w:t xml:space="preserve">New Zealand’s student loan scheme </w:t>
      </w:r>
      <w:r w:rsidR="00EA4188">
        <w:t>is</w:t>
      </w:r>
      <w:r w:rsidR="008B6271">
        <w:t xml:space="preserve"> loan borrowers whose income is insufficient to make progress in </w:t>
      </w:r>
      <w:r w:rsidR="00EA4188">
        <w:t>repaying</w:t>
      </w:r>
      <w:r w:rsidR="008B6271">
        <w:t xml:space="preserve"> their loans</w:t>
      </w:r>
      <w:r w:rsidR="004169C3">
        <w:t xml:space="preserve"> (Ministry of Education 2012). </w:t>
      </w:r>
      <w:r w:rsidR="00161A7B">
        <w:t>T</w:t>
      </w:r>
      <w:r w:rsidR="003460BF">
        <w:t xml:space="preserve">herefore </w:t>
      </w:r>
      <w:r w:rsidR="005E7752">
        <w:t xml:space="preserve">it is important to understand </w:t>
      </w:r>
      <w:r w:rsidR="00A1635F">
        <w:t>the circumstances where people</w:t>
      </w:r>
      <w:r w:rsidR="00921941">
        <w:t>’s income is</w:t>
      </w:r>
      <w:r w:rsidR="00A1635F">
        <w:t xml:space="preserve"> </w:t>
      </w:r>
      <w:r w:rsidR="003460BF">
        <w:t xml:space="preserve">below the </w:t>
      </w:r>
      <w:r w:rsidR="00782D6B">
        <w:t>repayment</w:t>
      </w:r>
      <w:r w:rsidR="003460BF">
        <w:t xml:space="preserve"> threshold</w:t>
      </w:r>
      <w:r w:rsidR="004169C3">
        <w:t xml:space="preserve"> after they have completed </w:t>
      </w:r>
      <w:r w:rsidR="004D03C9">
        <w:t>a</w:t>
      </w:r>
      <w:r w:rsidR="004169C3">
        <w:t xml:space="preserve"> tertiary </w:t>
      </w:r>
      <w:r w:rsidR="004D03C9">
        <w:t>qualification</w:t>
      </w:r>
      <w:r w:rsidR="003460BF">
        <w:t>.</w:t>
      </w:r>
      <w:r w:rsidR="004169C3">
        <w:t xml:space="preserve"> </w:t>
      </w:r>
      <w:r w:rsidR="00855FD8">
        <w:t>Colloquially we ask</w:t>
      </w:r>
      <w:r w:rsidR="003460BF">
        <w:t xml:space="preserve">, ‘was </w:t>
      </w:r>
      <w:r w:rsidR="00A1635F">
        <w:t>the study</w:t>
      </w:r>
      <w:r w:rsidR="003460BF">
        <w:t xml:space="preserve"> worth it?’</w:t>
      </w:r>
      <w:r w:rsidR="00810896">
        <w:rPr>
          <w:rStyle w:val="FootnoteReference"/>
        </w:rPr>
        <w:footnoteReference w:id="5"/>
      </w:r>
    </w:p>
    <w:p w:rsidR="005D6B8C" w:rsidRDefault="005D6B8C" w:rsidP="00AF3B88">
      <w:pPr>
        <w:pStyle w:val="BodyText"/>
      </w:pPr>
      <w:r>
        <w:t xml:space="preserve">Previous studies have shown there is a sizeable proportion of </w:t>
      </w:r>
      <w:proofErr w:type="gramStart"/>
      <w:r w:rsidR="00EA4188">
        <w:t>people</w:t>
      </w:r>
      <w:proofErr w:type="gramEnd"/>
      <w:r w:rsidR="00EA4188">
        <w:t xml:space="preserve"> who have student loan</w:t>
      </w:r>
      <w:r w:rsidR="00F706A6">
        <w:t>s</w:t>
      </w:r>
      <w:r w:rsidR="00EA4188">
        <w:t xml:space="preserve"> </w:t>
      </w:r>
      <w:r>
        <w:t xml:space="preserve">but who earn insufficient income to </w:t>
      </w:r>
      <w:r w:rsidR="00EA4188">
        <w:t>repay</w:t>
      </w:r>
      <w:r>
        <w:t xml:space="preserve"> </w:t>
      </w:r>
      <w:r w:rsidR="00477A44">
        <w:t>that</w:t>
      </w:r>
      <w:r>
        <w:t xml:space="preserve"> loan. For the cohort who left study in 2006, </w:t>
      </w:r>
      <w:r w:rsidR="00F57051">
        <w:t>about a quarter</w:t>
      </w:r>
      <w:r>
        <w:t xml:space="preserve"> of </w:t>
      </w:r>
      <w:r w:rsidR="00F57051">
        <w:t xml:space="preserve">all </w:t>
      </w:r>
      <w:r>
        <w:t>New Zealand resident student loan borrowers</w:t>
      </w:r>
      <w:r w:rsidR="00EA4188">
        <w:t>’</w:t>
      </w:r>
      <w:r>
        <w:t xml:space="preserve"> income </w:t>
      </w:r>
      <w:r w:rsidR="00EA4188">
        <w:t xml:space="preserve">was </w:t>
      </w:r>
      <w:r>
        <w:t xml:space="preserve">under the </w:t>
      </w:r>
      <w:r w:rsidR="00782D6B">
        <w:t>repayment</w:t>
      </w:r>
      <w:r>
        <w:t xml:space="preserve"> threshold for each of the following three years (</w:t>
      </w:r>
      <w:r w:rsidR="00AC6047">
        <w:t>Chen and Webster 201</w:t>
      </w:r>
      <w:r w:rsidR="009436E1">
        <w:t>3</w:t>
      </w:r>
      <w:r w:rsidR="00AC6047">
        <w:t xml:space="preserve">). </w:t>
      </w:r>
    </w:p>
    <w:p w:rsidR="00B12926" w:rsidRDefault="00AC6047" w:rsidP="00AF3B88">
      <w:pPr>
        <w:pStyle w:val="BodyText"/>
      </w:pPr>
      <w:r>
        <w:t xml:space="preserve">‘Slow </w:t>
      </w:r>
      <w:proofErr w:type="spellStart"/>
      <w:r w:rsidR="00EA4188">
        <w:t>repay</w:t>
      </w:r>
      <w:r>
        <w:t>ers</w:t>
      </w:r>
      <w:proofErr w:type="spellEnd"/>
      <w:r>
        <w:t>’</w:t>
      </w:r>
      <w:r w:rsidR="003460BF">
        <w:t xml:space="preserve">, of which those who do not </w:t>
      </w:r>
      <w:r w:rsidR="00043430">
        <w:t xml:space="preserve">make </w:t>
      </w:r>
      <w:r w:rsidR="003460BF">
        <w:t>repay</w:t>
      </w:r>
      <w:r w:rsidR="00043430">
        <w:t>ments to</w:t>
      </w:r>
      <w:r w:rsidR="003460BF">
        <w:t xml:space="preserve"> their loan at all are a sub-group,</w:t>
      </w:r>
      <w:r>
        <w:t xml:space="preserve"> </w:t>
      </w:r>
      <w:r w:rsidR="00C32B41">
        <w:t xml:space="preserve">have </w:t>
      </w:r>
      <w:r w:rsidR="003A7CFE">
        <w:t>been extensively studied over the past few years (Smyth and Hyatt 2005, Hyatt 2005, Griffin, Scott and Smyth 2005, Chen and Webster 201</w:t>
      </w:r>
      <w:r w:rsidR="009436E1">
        <w:t>3</w:t>
      </w:r>
      <w:r w:rsidR="003A7CFE">
        <w:t>)</w:t>
      </w:r>
      <w:r w:rsidR="00855FD8">
        <w:t>, so t</w:t>
      </w:r>
      <w:r w:rsidR="003A7CFE">
        <w:t xml:space="preserve">he factors that characterise </w:t>
      </w:r>
      <w:r>
        <w:t xml:space="preserve">slow </w:t>
      </w:r>
      <w:r w:rsidR="00782D6B">
        <w:t>repayment</w:t>
      </w:r>
      <w:r w:rsidR="003A7CFE">
        <w:t xml:space="preserve"> are quite well known.</w:t>
      </w:r>
      <w:r w:rsidR="00C32B41">
        <w:t xml:space="preserve"> </w:t>
      </w:r>
      <w:r w:rsidR="00F177F5">
        <w:t xml:space="preserve">In particular, </w:t>
      </w:r>
      <w:r w:rsidR="00C32B41">
        <w:t xml:space="preserve">females, older people, </w:t>
      </w:r>
      <w:r w:rsidR="003460BF">
        <w:t xml:space="preserve">people in receipt of a benefit, </w:t>
      </w:r>
      <w:r w:rsidR="00C32B41">
        <w:t xml:space="preserve">people of </w:t>
      </w:r>
      <w:proofErr w:type="spellStart"/>
      <w:r w:rsidR="00C32B41">
        <w:t>Māori</w:t>
      </w:r>
      <w:proofErr w:type="spellEnd"/>
      <w:r w:rsidR="00C32B41">
        <w:t xml:space="preserve"> and Asian ethnicity, those who don’t complete their qualification, and people who study at lower qualification levels </w:t>
      </w:r>
      <w:r w:rsidR="003460BF">
        <w:t>are over-represented</w:t>
      </w:r>
      <w:r w:rsidR="00F177F5">
        <w:t xml:space="preserve"> in those who are slow to repay their student loans</w:t>
      </w:r>
      <w:r w:rsidR="003460BF">
        <w:t xml:space="preserve"> </w:t>
      </w:r>
      <w:r w:rsidR="009436E1">
        <w:t>(Chen and Webster 2013</w:t>
      </w:r>
      <w:r w:rsidR="00C32B41">
        <w:t xml:space="preserve">). </w:t>
      </w:r>
    </w:p>
    <w:p w:rsidR="00505866" w:rsidRPr="002E2ECC" w:rsidRDefault="000365A0" w:rsidP="00AF3B88">
      <w:pPr>
        <w:pStyle w:val="BodyText"/>
      </w:pPr>
      <w:r>
        <w:t>P</w:t>
      </w:r>
      <w:r w:rsidR="00DB461B">
        <w:t xml:space="preserve">revious </w:t>
      </w:r>
      <w:r w:rsidR="00161A7B">
        <w:t xml:space="preserve">New Zealand </w:t>
      </w:r>
      <w:r w:rsidR="00DB461B">
        <w:t xml:space="preserve">studies on tertiary education </w:t>
      </w:r>
      <w:r w:rsidR="00585067">
        <w:t xml:space="preserve">and </w:t>
      </w:r>
      <w:r w:rsidR="00AC6047">
        <w:t>post-study</w:t>
      </w:r>
      <w:r w:rsidR="00DB461B">
        <w:t xml:space="preserve"> income have usually considered income </w:t>
      </w:r>
      <w:r w:rsidR="003800DE">
        <w:t xml:space="preserve">at particular years </w:t>
      </w:r>
      <w:r w:rsidR="00DB461B">
        <w:t xml:space="preserve">after completing a qualification. Mahoney, Park and Smyth (2013) considered incomes </w:t>
      </w:r>
      <w:r>
        <w:t xml:space="preserve">one, two and </w:t>
      </w:r>
      <w:r w:rsidR="00DB461B">
        <w:t>five years af</w:t>
      </w:r>
      <w:r w:rsidR="003C7978">
        <w:t xml:space="preserve">ter completing a qualification, while Griffin </w:t>
      </w:r>
      <w:proofErr w:type="gramStart"/>
      <w:r w:rsidR="003C7978">
        <w:t>et</w:t>
      </w:r>
      <w:proofErr w:type="gramEnd"/>
      <w:r w:rsidR="003C7978">
        <w:t xml:space="preserve">. al. (2005) considered income three and six years </w:t>
      </w:r>
      <w:r w:rsidR="008E3864">
        <w:t>later</w:t>
      </w:r>
      <w:r w:rsidR="003C7978">
        <w:t xml:space="preserve">. </w:t>
      </w:r>
      <w:r w:rsidR="000D6D72">
        <w:t>Mahoney (2011) considered income one and four years after completion</w:t>
      </w:r>
      <w:r w:rsidR="00424556">
        <w:t xml:space="preserve"> for his work on </w:t>
      </w:r>
      <w:r w:rsidR="00B64237">
        <w:t>income</w:t>
      </w:r>
      <w:r w:rsidR="00424556">
        <w:t xml:space="preserve"> differences</w:t>
      </w:r>
      <w:r w:rsidR="00B64237">
        <w:t xml:space="preserve"> by gender</w:t>
      </w:r>
      <w:r w:rsidR="000D6D72">
        <w:t xml:space="preserve">. </w:t>
      </w:r>
      <w:r w:rsidR="00A44BAB">
        <w:t>C</w:t>
      </w:r>
      <w:r w:rsidR="006073AA">
        <w:t xml:space="preserve">richton and Dixon </w:t>
      </w:r>
      <w:r w:rsidR="00A44BAB">
        <w:t>(</w:t>
      </w:r>
      <w:r w:rsidR="006073AA">
        <w:t>2011)</w:t>
      </w:r>
      <w:r w:rsidR="00A44BAB">
        <w:t xml:space="preserve"> did some time-series analysis</w:t>
      </w:r>
      <w:r w:rsidR="00225AF8">
        <w:t>, but the</w:t>
      </w:r>
      <w:r w:rsidR="008E3864">
        <w:t>ir</w:t>
      </w:r>
      <w:r w:rsidR="00225AF8">
        <w:t xml:space="preserve"> main </w:t>
      </w:r>
      <w:r w:rsidR="00424556">
        <w:t>focus</w:t>
      </w:r>
      <w:r w:rsidR="00225AF8">
        <w:t xml:space="preserve"> was on the relative differences in income between </w:t>
      </w:r>
      <w:r w:rsidR="00A44BAB">
        <w:t>people who completed a qualification</w:t>
      </w:r>
      <w:r w:rsidR="00225AF8">
        <w:t xml:space="preserve"> and a </w:t>
      </w:r>
      <w:r w:rsidR="00695697">
        <w:t>matched</w:t>
      </w:r>
      <w:r w:rsidR="00A44BAB">
        <w:t xml:space="preserve"> </w:t>
      </w:r>
      <w:r w:rsidR="00225AF8">
        <w:t>control group</w:t>
      </w:r>
      <w:r w:rsidR="00A1635F">
        <w:t xml:space="preserve"> (who did not study)</w:t>
      </w:r>
      <w:r w:rsidR="008E3864">
        <w:t xml:space="preserve"> three years after </w:t>
      </w:r>
      <w:r w:rsidR="00A44BAB">
        <w:t xml:space="preserve">the completion of </w:t>
      </w:r>
      <w:r w:rsidR="003C5124">
        <w:t>a</w:t>
      </w:r>
      <w:r w:rsidR="00A44BAB">
        <w:t xml:space="preserve"> </w:t>
      </w:r>
      <w:r w:rsidR="008E3864">
        <w:t>qualification</w:t>
      </w:r>
      <w:r w:rsidR="006073AA">
        <w:t xml:space="preserve">. </w:t>
      </w:r>
      <w:r w:rsidR="00A44BAB">
        <w:t>One further study considered income over time (</w:t>
      </w:r>
      <w:proofErr w:type="spellStart"/>
      <w:r w:rsidR="00A44BAB">
        <w:t>Maani</w:t>
      </w:r>
      <w:proofErr w:type="spellEnd"/>
      <w:r w:rsidR="00A44BAB">
        <w:t xml:space="preserve"> 1999), but in </w:t>
      </w:r>
      <w:r w:rsidR="00695697">
        <w:t>that</w:t>
      </w:r>
      <w:r w:rsidR="00A44BAB">
        <w:t xml:space="preserve"> study the time points were census years, so time was represented in four-year intervals, and </w:t>
      </w:r>
      <w:proofErr w:type="spellStart"/>
      <w:r w:rsidR="00A44BAB">
        <w:t>Maani</w:t>
      </w:r>
      <w:proofErr w:type="spellEnd"/>
      <w:r w:rsidR="00A44BAB">
        <w:t xml:space="preserve"> considered each year in </w:t>
      </w:r>
      <w:r w:rsidR="00695697">
        <w:t xml:space="preserve">a </w:t>
      </w:r>
      <w:r w:rsidR="00A44BAB">
        <w:t>separate regression analys</w:t>
      </w:r>
      <w:r w:rsidR="00695697">
        <w:t>i</w:t>
      </w:r>
      <w:r w:rsidR="00A44BAB">
        <w:t>s.</w:t>
      </w:r>
      <w:r w:rsidR="002E2ECC">
        <w:t xml:space="preserve"> </w:t>
      </w:r>
      <w:r w:rsidR="00AC6047">
        <w:t>All t</w:t>
      </w:r>
      <w:r w:rsidR="002E2ECC">
        <w:t xml:space="preserve">hese reports </w:t>
      </w:r>
      <w:r w:rsidR="00424556">
        <w:t>are</w:t>
      </w:r>
      <w:r w:rsidR="002E2ECC">
        <w:t xml:space="preserve"> helpful in determining if someone is earning sufficient income to be above the </w:t>
      </w:r>
      <w:r w:rsidR="00782D6B">
        <w:t>repayment</w:t>
      </w:r>
      <w:r w:rsidR="002E2ECC">
        <w:t xml:space="preserve"> threshold </w:t>
      </w:r>
      <w:r w:rsidR="002E2ECC" w:rsidRPr="002E2ECC">
        <w:rPr>
          <w:i/>
        </w:rPr>
        <w:t>at a particular point in time</w:t>
      </w:r>
      <w:r w:rsidR="002E2ECC">
        <w:t>,</w:t>
      </w:r>
      <w:r w:rsidR="000A53B6">
        <w:t xml:space="preserve"> but</w:t>
      </w:r>
      <w:r w:rsidR="002E2ECC">
        <w:t xml:space="preserve"> </w:t>
      </w:r>
      <w:r>
        <w:t xml:space="preserve">we can’t determine </w:t>
      </w:r>
      <w:r>
        <w:rPr>
          <w:i/>
        </w:rPr>
        <w:t>when</w:t>
      </w:r>
      <w:r w:rsidRPr="0053654B">
        <w:t>,</w:t>
      </w:r>
      <w:r>
        <w:rPr>
          <w:i/>
        </w:rPr>
        <w:t xml:space="preserve"> </w:t>
      </w:r>
      <w:r w:rsidRPr="00B64237">
        <w:t>or</w:t>
      </w:r>
      <w:r w:rsidR="004D03C9">
        <w:t xml:space="preserve"> whether they</w:t>
      </w:r>
      <w:r w:rsidR="00E97AFA">
        <w:t xml:space="preserve"> </w:t>
      </w:r>
      <w:r w:rsidR="00424556" w:rsidRPr="004D03C9">
        <w:rPr>
          <w:i/>
        </w:rPr>
        <w:t>might</w:t>
      </w:r>
      <w:r w:rsidR="00424556">
        <w:t xml:space="preserve"> reach that</w:t>
      </w:r>
      <w:r w:rsidR="00AC6047">
        <w:t xml:space="preserve"> </w:t>
      </w:r>
      <w:r w:rsidR="002E2ECC">
        <w:t>threshold</w:t>
      </w:r>
      <w:r w:rsidR="00424556">
        <w:t>.</w:t>
      </w:r>
    </w:p>
    <w:p w:rsidR="004A1706" w:rsidRDefault="006131D3" w:rsidP="00AF3B88">
      <w:pPr>
        <w:pStyle w:val="BodyText"/>
      </w:pPr>
      <w:r>
        <w:t xml:space="preserve">To answer this question we need to know </w:t>
      </w:r>
      <w:r w:rsidR="00035CF4">
        <w:t>how</w:t>
      </w:r>
      <w:r w:rsidR="002E2ECC">
        <w:t xml:space="preserve"> income </w:t>
      </w:r>
      <w:r w:rsidR="00035CF4">
        <w:t xml:space="preserve">changes </w:t>
      </w:r>
      <w:r w:rsidR="002E2ECC">
        <w:t xml:space="preserve">over time. </w:t>
      </w:r>
      <w:r w:rsidR="003C5124">
        <w:t xml:space="preserve">Knowing </w:t>
      </w:r>
      <w:r w:rsidR="00035CF4">
        <w:t>how income changes not</w:t>
      </w:r>
      <w:r w:rsidR="002E2ECC">
        <w:t xml:space="preserve"> only </w:t>
      </w:r>
      <w:r w:rsidR="00ED0BE0">
        <w:t xml:space="preserve">allows us to ask </w:t>
      </w:r>
      <w:r w:rsidR="004A1706">
        <w:t xml:space="preserve">how long it </w:t>
      </w:r>
      <w:r w:rsidR="00A1635F">
        <w:t xml:space="preserve">will </w:t>
      </w:r>
      <w:r w:rsidR="004A1706">
        <w:t xml:space="preserve">take </w:t>
      </w:r>
      <w:r w:rsidR="00ED0BE0">
        <w:t xml:space="preserve">for </w:t>
      </w:r>
      <w:r w:rsidR="000365A0">
        <w:t>someone</w:t>
      </w:r>
      <w:r w:rsidR="004A1706">
        <w:t xml:space="preserve"> to reach </w:t>
      </w:r>
      <w:r w:rsidR="00161A7B">
        <w:t>the</w:t>
      </w:r>
      <w:r w:rsidR="004A1706">
        <w:t xml:space="preserve"> </w:t>
      </w:r>
      <w:r w:rsidR="002E2ECC">
        <w:lastRenderedPageBreak/>
        <w:t>threshold, but w</w:t>
      </w:r>
      <w:r w:rsidR="004A1706">
        <w:t xml:space="preserve">e can also see how income </w:t>
      </w:r>
      <w:r w:rsidR="00E97AFA">
        <w:t>changes when different qualifications are completed</w:t>
      </w:r>
      <w:r w:rsidR="004A1706">
        <w:t xml:space="preserve">, </w:t>
      </w:r>
      <w:r w:rsidR="00ED0BE0">
        <w:t xml:space="preserve">how it varies between people of </w:t>
      </w:r>
      <w:r w:rsidR="004A1706">
        <w:t>different age,</w:t>
      </w:r>
      <w:r w:rsidR="00E97AFA">
        <w:t xml:space="preserve"> or</w:t>
      </w:r>
      <w:r w:rsidR="004A1706">
        <w:t xml:space="preserve"> for people in different </w:t>
      </w:r>
      <w:r w:rsidR="000A53B6">
        <w:t xml:space="preserve">economic </w:t>
      </w:r>
      <w:r w:rsidR="004A1706">
        <w:t>circumstances</w:t>
      </w:r>
      <w:r w:rsidR="001E4776">
        <w:t xml:space="preserve">, and </w:t>
      </w:r>
      <w:r w:rsidR="0051489A">
        <w:t xml:space="preserve">how </w:t>
      </w:r>
      <w:r w:rsidR="001E4776">
        <w:t xml:space="preserve">the various </w:t>
      </w:r>
      <w:r w:rsidR="0051489A">
        <w:t>factors act in combination</w:t>
      </w:r>
      <w:r w:rsidR="004A1706">
        <w:t>.</w:t>
      </w:r>
    </w:p>
    <w:p w:rsidR="005A6908" w:rsidRDefault="000365A0" w:rsidP="00AF3B88">
      <w:pPr>
        <w:pStyle w:val="BodyText"/>
      </w:pPr>
      <w:r>
        <w:t xml:space="preserve">There are three aspects </w:t>
      </w:r>
      <w:r w:rsidR="0053654B">
        <w:t>of</w:t>
      </w:r>
      <w:r>
        <w:t xml:space="preserve"> income </w:t>
      </w:r>
      <w:r w:rsidR="00F706A6">
        <w:t xml:space="preserve">that </w:t>
      </w:r>
      <w:r w:rsidR="00A1635F">
        <w:t>need to be considered</w:t>
      </w:r>
      <w:r w:rsidR="0053654B">
        <w:t xml:space="preserve"> </w:t>
      </w:r>
      <w:r>
        <w:t xml:space="preserve">when comparing it to a threshold. </w:t>
      </w:r>
      <w:r w:rsidR="001E4776">
        <w:t xml:space="preserve">Firstly, </w:t>
      </w:r>
      <w:r w:rsidR="00830C93">
        <w:t xml:space="preserve">we need to consider the income prior to any tertiary study. Clearly, if income is above the </w:t>
      </w:r>
      <w:r w:rsidR="00F706A6">
        <w:t xml:space="preserve">repayment </w:t>
      </w:r>
      <w:r w:rsidR="00830C93">
        <w:t xml:space="preserve">threshold, then it is unlikely, </w:t>
      </w:r>
      <w:r w:rsidR="004169C3">
        <w:t>barring any</w:t>
      </w:r>
      <w:r w:rsidR="00830C93">
        <w:t xml:space="preserve"> unexpected life events, </w:t>
      </w:r>
      <w:r w:rsidR="004169C3">
        <w:t>to fall</w:t>
      </w:r>
      <w:r w:rsidR="00830C93">
        <w:t xml:space="preserve"> below that threshold</w:t>
      </w:r>
      <w:r w:rsidR="00921941">
        <w:t>, at least in the longer term</w:t>
      </w:r>
      <w:r w:rsidR="00830C93">
        <w:t xml:space="preserve">. </w:t>
      </w:r>
      <w:r w:rsidR="004D03C9">
        <w:t xml:space="preserve">For this reason we </w:t>
      </w:r>
      <w:r w:rsidR="003800DE">
        <w:t xml:space="preserve">need to </w:t>
      </w:r>
      <w:r w:rsidR="004D03C9">
        <w:t xml:space="preserve">consider people whose </w:t>
      </w:r>
      <w:r w:rsidR="00B70B32">
        <w:t>pre-study income</w:t>
      </w:r>
      <w:r w:rsidR="004D03C9">
        <w:t xml:space="preserve"> </w:t>
      </w:r>
      <w:r w:rsidR="003800DE">
        <w:t>is</w:t>
      </w:r>
      <w:r w:rsidR="004D03C9">
        <w:t xml:space="preserve"> below the repayment threshold. </w:t>
      </w:r>
      <w:r w:rsidR="00830C93">
        <w:t xml:space="preserve">Secondly, there may be a step change in income on completing </w:t>
      </w:r>
      <w:r w:rsidR="00035CF4">
        <w:t>a</w:t>
      </w:r>
      <w:r w:rsidR="00830C93">
        <w:t xml:space="preserve"> qualification. This might result from a person being able to work extra hours, </w:t>
      </w:r>
      <w:r w:rsidR="00254917">
        <w:t xml:space="preserve">or </w:t>
      </w:r>
      <w:r w:rsidR="00F57051">
        <w:t>move</w:t>
      </w:r>
      <w:r w:rsidR="00830C93">
        <w:t xml:space="preserve"> from part-time to full-time </w:t>
      </w:r>
      <w:r w:rsidR="00F57051">
        <w:t>work</w:t>
      </w:r>
      <w:r w:rsidR="00830C93">
        <w:t xml:space="preserve">, or start on a new, </w:t>
      </w:r>
      <w:r w:rsidR="008A685A">
        <w:t>better</w:t>
      </w:r>
      <w:r w:rsidR="00830C93">
        <w:t>-paid career path. Alternatively, the qualification might enable a person to enter (or re-enter) the labour market.</w:t>
      </w:r>
      <w:r>
        <w:t xml:space="preserve"> Each of these</w:t>
      </w:r>
      <w:r w:rsidR="009C1727">
        <w:t xml:space="preserve"> events</w:t>
      </w:r>
      <w:r>
        <w:t xml:space="preserve"> would result in a step change in income.</w:t>
      </w:r>
      <w:r w:rsidR="00830C93">
        <w:t xml:space="preserve"> Lastly, completing a tertiary qualification may increase the rate at which income rises over time. This may come about because a person may </w:t>
      </w:r>
      <w:r w:rsidR="003800DE">
        <w:t>be promoted to</w:t>
      </w:r>
      <w:r w:rsidR="00830C93">
        <w:t xml:space="preserve"> a </w:t>
      </w:r>
      <w:r w:rsidR="00F57051">
        <w:t>more senior</w:t>
      </w:r>
      <w:r w:rsidR="00830C93">
        <w:t xml:space="preserve"> position</w:t>
      </w:r>
      <w:r w:rsidR="007809BA">
        <w:t xml:space="preserve">, or </w:t>
      </w:r>
      <w:r w:rsidR="00F40CB9">
        <w:t xml:space="preserve">they may </w:t>
      </w:r>
      <w:r w:rsidR="007809BA">
        <w:t>take on more responsibilities</w:t>
      </w:r>
      <w:r w:rsidR="00830C93">
        <w:t xml:space="preserve">, </w:t>
      </w:r>
      <w:r w:rsidR="007809BA">
        <w:t xml:space="preserve">which </w:t>
      </w:r>
      <w:r w:rsidR="00F40CB9">
        <w:t xml:space="preserve">in turn </w:t>
      </w:r>
      <w:r w:rsidR="007809BA">
        <w:t>attracts</w:t>
      </w:r>
      <w:r w:rsidR="00F57051">
        <w:t xml:space="preserve"> </w:t>
      </w:r>
      <w:r w:rsidR="00830C93">
        <w:t xml:space="preserve">a higher annual increment in </w:t>
      </w:r>
      <w:r w:rsidR="00035CF4">
        <w:t xml:space="preserve">their </w:t>
      </w:r>
      <w:r w:rsidR="00830C93">
        <w:t>salary</w:t>
      </w:r>
      <w:r w:rsidR="00035CF4">
        <w:t xml:space="preserve"> or wages</w:t>
      </w:r>
      <w:r w:rsidR="00830C93">
        <w:t>.</w:t>
      </w:r>
      <w:r w:rsidR="00D210F4">
        <w:t xml:space="preserve"> For self-employed people, a qualification might lead to higher productivity, and hence higher income, or provide greater status, which might attract more </w:t>
      </w:r>
      <w:r w:rsidR="003800DE">
        <w:t>business</w:t>
      </w:r>
      <w:r w:rsidR="00D210F4">
        <w:t>.</w:t>
      </w:r>
    </w:p>
    <w:p w:rsidR="00744B35" w:rsidRDefault="003800DE" w:rsidP="00744B35">
      <w:pPr>
        <w:pStyle w:val="BodyText"/>
      </w:pPr>
      <w:r>
        <w:t>In this study we use two approaches to gain a better understanding of the dynamics of income when studying for and completing a tertiary qualification. First, we model average incomes</w:t>
      </w:r>
      <w:r w:rsidR="00A36051">
        <w:rPr>
          <w:rStyle w:val="FootnoteReference"/>
        </w:rPr>
        <w:footnoteReference w:id="6"/>
      </w:r>
      <w:r>
        <w:t xml:space="preserve"> through time.</w:t>
      </w:r>
      <w:r w:rsidR="00744B35">
        <w:t xml:space="preserve"> </w:t>
      </w:r>
      <w:r w:rsidR="00CC4C0B">
        <w:t xml:space="preserve">We consider </w:t>
      </w:r>
      <w:r w:rsidR="00744B35">
        <w:t>the annual change in income before studying and after completing</w:t>
      </w:r>
      <w:r w:rsidR="009C1727">
        <w:t xml:space="preserve"> a qualification</w:t>
      </w:r>
      <w:r w:rsidR="00744B35">
        <w:t>, and the step change in income on completing. We model</w:t>
      </w:r>
      <w:r w:rsidR="00CC4C0B">
        <w:t xml:space="preserve"> income for </w:t>
      </w:r>
      <w:r w:rsidR="0082576F">
        <w:t xml:space="preserve">individual </w:t>
      </w:r>
      <w:r w:rsidR="009967E0">
        <w:t>men and women</w:t>
      </w:r>
      <w:r w:rsidR="00BE25C5">
        <w:t xml:space="preserve"> student loan borrowers</w:t>
      </w:r>
      <w:r w:rsidR="00CC4C0B">
        <w:t xml:space="preserve"> over time</w:t>
      </w:r>
      <w:r w:rsidR="004D03C9">
        <w:t xml:space="preserve"> </w:t>
      </w:r>
      <w:proofErr w:type="gramStart"/>
      <w:r w:rsidR="004D03C9">
        <w:t>who</w:t>
      </w:r>
      <w:proofErr w:type="gramEnd"/>
      <w:r w:rsidR="004D03C9">
        <w:t xml:space="preserve"> had low incomes</w:t>
      </w:r>
      <w:r w:rsidR="009C1727">
        <w:t xml:space="preserve">—defined as being below the 2008 </w:t>
      </w:r>
      <w:r w:rsidR="00161A7B">
        <w:t xml:space="preserve">student loan </w:t>
      </w:r>
      <w:r w:rsidR="009C1727">
        <w:t xml:space="preserve">repayment threshold—at the </w:t>
      </w:r>
      <w:r w:rsidR="004D03C9">
        <w:t>start of the study period</w:t>
      </w:r>
      <w:r w:rsidR="009C1727">
        <w:t xml:space="preserve"> in 1999</w:t>
      </w:r>
      <w:r w:rsidR="00CC4C0B">
        <w:t xml:space="preserve">. We look at people across a range of ages, </w:t>
      </w:r>
      <w:r w:rsidR="00276C74">
        <w:t xml:space="preserve">some of them </w:t>
      </w:r>
      <w:r w:rsidR="00CC4C0B">
        <w:t xml:space="preserve">studying for </w:t>
      </w:r>
      <w:r w:rsidR="008A685A">
        <w:t xml:space="preserve">a variety of qualification types, some of </w:t>
      </w:r>
      <w:r w:rsidR="00161A7B">
        <w:t>who</w:t>
      </w:r>
      <w:r w:rsidR="008A685A">
        <w:t xml:space="preserve"> complete</w:t>
      </w:r>
      <w:r w:rsidR="00161A7B">
        <w:t xml:space="preserve"> those qualifications</w:t>
      </w:r>
      <w:r w:rsidR="00CC4C0B">
        <w:t xml:space="preserve">. We note whether </w:t>
      </w:r>
      <w:r w:rsidR="008A685A">
        <w:t>someone is</w:t>
      </w:r>
      <w:r w:rsidR="00CC4C0B">
        <w:t xml:space="preserve"> receiving a benefit </w:t>
      </w:r>
      <w:r w:rsidR="004D03C9">
        <w:t>or not</w:t>
      </w:r>
      <w:r w:rsidR="00F0703C">
        <w:t xml:space="preserve"> in any one year</w:t>
      </w:r>
      <w:r w:rsidR="00CC4C0B">
        <w:t xml:space="preserve">. We limit our study population to those people who </w:t>
      </w:r>
      <w:r w:rsidR="00035CF4">
        <w:t>are resident</w:t>
      </w:r>
      <w:r w:rsidR="00CC4C0B">
        <w:t xml:space="preserve"> in New Zealand</w:t>
      </w:r>
      <w:r w:rsidR="00035CF4">
        <w:t xml:space="preserve">, and we consider their income over the </w:t>
      </w:r>
      <w:r w:rsidR="009C1727">
        <w:t xml:space="preserve">ten </w:t>
      </w:r>
      <w:r w:rsidR="00035CF4">
        <w:t>years</w:t>
      </w:r>
      <w:r w:rsidR="00CC4C0B">
        <w:t xml:space="preserve"> 1999 </w:t>
      </w:r>
      <w:r w:rsidR="00035CF4">
        <w:t xml:space="preserve">to </w:t>
      </w:r>
      <w:r w:rsidR="00CC4C0B">
        <w:t xml:space="preserve">2008. </w:t>
      </w:r>
      <w:r w:rsidR="00BA4855">
        <w:t>We compare income</w:t>
      </w:r>
      <w:r w:rsidR="008A685A">
        <w:t xml:space="preserve"> in 2008 dollars</w:t>
      </w:r>
      <w:r w:rsidR="00693DBF">
        <w:t>, and the rate of change in income,</w:t>
      </w:r>
      <w:r w:rsidR="00BA4855">
        <w:t xml:space="preserve"> for the various combinations of factors,</w:t>
      </w:r>
      <w:r w:rsidR="00693DBF">
        <w:t xml:space="preserve"> pre- and post-study, </w:t>
      </w:r>
      <w:r w:rsidR="00BA4855">
        <w:t>against the loan-repayment threshold in 2008.</w:t>
      </w:r>
    </w:p>
    <w:p w:rsidR="00744B35" w:rsidRDefault="00744B35" w:rsidP="00744B35">
      <w:pPr>
        <w:pStyle w:val="BodyText"/>
      </w:pPr>
      <w:r>
        <w:t xml:space="preserve">Our second approach is to look at the </w:t>
      </w:r>
      <w:r w:rsidR="00637778">
        <w:t>distribution of post-completion incomes for</w:t>
      </w:r>
      <w:r>
        <w:t xml:space="preserve"> people who </w:t>
      </w:r>
      <w:r>
        <w:rPr>
          <w:i/>
        </w:rPr>
        <w:t xml:space="preserve">have </w:t>
      </w:r>
      <w:r>
        <w:t xml:space="preserve">completed a qualification. Specifically, we consider whether </w:t>
      </w:r>
      <w:r w:rsidR="00637778">
        <w:t xml:space="preserve">incomes </w:t>
      </w:r>
      <w:r>
        <w:t xml:space="preserve">in the lower, middle or upper quartiles of the </w:t>
      </w:r>
      <w:r w:rsidR="00637778">
        <w:t xml:space="preserve">post-completion </w:t>
      </w:r>
      <w:r>
        <w:t>income distribution</w:t>
      </w:r>
      <w:r w:rsidR="00637778">
        <w:t xml:space="preserve"> are</w:t>
      </w:r>
      <w:r>
        <w:t xml:space="preserve"> </w:t>
      </w:r>
      <w:r w:rsidR="00637778">
        <w:t xml:space="preserve">above the repayment threshold, </w:t>
      </w:r>
      <w:r>
        <w:t>also controlling for age, gender, benefit status and whether or not someone ha</w:t>
      </w:r>
      <w:r w:rsidR="00064455">
        <w:t>s</w:t>
      </w:r>
      <w:r>
        <w:t xml:space="preserve"> a student loan.</w:t>
      </w:r>
    </w:p>
    <w:p w:rsidR="00606796" w:rsidRDefault="00606796" w:rsidP="00744B35">
      <w:pPr>
        <w:pStyle w:val="BodyText"/>
      </w:pPr>
      <w:r>
        <w:t xml:space="preserve">The age groups considered in this report are for people in their twenties, thirties and forties. We did look at people in their fifties, but </w:t>
      </w:r>
      <w:r w:rsidR="00251F17">
        <w:t>relatively few</w:t>
      </w:r>
      <w:r>
        <w:t xml:space="preserve"> people </w:t>
      </w:r>
      <w:r w:rsidR="00015B12">
        <w:t xml:space="preserve">of this age </w:t>
      </w:r>
      <w:r w:rsidR="00251F17">
        <w:t xml:space="preserve">completed </w:t>
      </w:r>
      <w:r>
        <w:t xml:space="preserve">qualifications, especially at higher levels. </w:t>
      </w:r>
      <w:r w:rsidR="00251F17">
        <w:t xml:space="preserve">We therefore can’t have as much confidence in these results. We don’t present the results for this age group formally, but we do summarise the findings generally in section </w:t>
      </w:r>
      <w:r w:rsidR="00637778">
        <w:t>5</w:t>
      </w:r>
      <w:r w:rsidR="00251F17">
        <w:t>.</w:t>
      </w:r>
    </w:p>
    <w:p w:rsidR="00502566" w:rsidRDefault="003929B5" w:rsidP="00251F17">
      <w:pPr>
        <w:pStyle w:val="BodyText"/>
      </w:pPr>
      <w:r>
        <w:t xml:space="preserve">In </w:t>
      </w:r>
      <w:r w:rsidR="00A1635F">
        <w:t>S</w:t>
      </w:r>
      <w:r>
        <w:t xml:space="preserve">ection </w:t>
      </w:r>
      <w:r w:rsidR="004F0B93">
        <w:t>3</w:t>
      </w:r>
      <w:r w:rsidR="00A1635F">
        <w:t xml:space="preserve"> </w:t>
      </w:r>
      <w:r>
        <w:t xml:space="preserve">we model income trajectories for </w:t>
      </w:r>
      <w:r w:rsidR="00BE25C5">
        <w:t>student loan borrowers</w:t>
      </w:r>
      <w:r>
        <w:t xml:space="preserve"> with incomes below the student loan repayment threshold at the start of our time series. Section </w:t>
      </w:r>
      <w:r w:rsidR="004F0B93">
        <w:t>4</w:t>
      </w:r>
      <w:r>
        <w:t xml:space="preserve"> covers our second approach, looking at </w:t>
      </w:r>
      <w:r w:rsidR="00637778">
        <w:t xml:space="preserve">the distribution of </w:t>
      </w:r>
      <w:r w:rsidR="00F706A6">
        <w:t>post-completion income</w:t>
      </w:r>
      <w:r w:rsidR="00637778">
        <w:t>s for our study groups</w:t>
      </w:r>
      <w:r>
        <w:t xml:space="preserve">. </w:t>
      </w:r>
      <w:r w:rsidR="00BE25C5">
        <w:t xml:space="preserve">In section </w:t>
      </w:r>
      <w:r w:rsidR="000E6E4C">
        <w:t>5</w:t>
      </w:r>
      <w:r w:rsidR="00BE25C5">
        <w:t xml:space="preserve"> we</w:t>
      </w:r>
      <w:r w:rsidR="00251F17">
        <w:t xml:space="preserve"> consider some other aspects</w:t>
      </w:r>
      <w:r>
        <w:t xml:space="preserve"> of this study.</w:t>
      </w:r>
    </w:p>
    <w:p w:rsidR="004B1DE4" w:rsidRPr="00502566" w:rsidRDefault="00502566" w:rsidP="00251F17">
      <w:pPr>
        <w:pStyle w:val="BodyText"/>
      </w:pPr>
      <w:r>
        <w:t xml:space="preserve">This report deliberately omits the statistical and technical details which underpin the analysis used in this study. This was done to make the report more readable to a non-technical audience. </w:t>
      </w:r>
      <w:r>
        <w:lastRenderedPageBreak/>
        <w:t>The statistical and technical details can be found in a separate report, ‘</w:t>
      </w:r>
      <w:r>
        <w:rPr>
          <w:i/>
        </w:rPr>
        <w:t>Statistical methods</w:t>
      </w:r>
      <w:r w:rsidR="00015B12">
        <w:rPr>
          <w:i/>
        </w:rPr>
        <w:t xml:space="preserve"> and results</w:t>
      </w:r>
      <w:r>
        <w:rPr>
          <w:i/>
        </w:rPr>
        <w:t xml:space="preserve"> for </w:t>
      </w:r>
      <w:r>
        <w:t xml:space="preserve">Was it worth it?’ which is available on the Ministry of Education’s </w:t>
      </w:r>
      <w:proofErr w:type="spellStart"/>
      <w:r>
        <w:t>EdCounts</w:t>
      </w:r>
      <w:proofErr w:type="spellEnd"/>
      <w:r>
        <w:t xml:space="preserve"> website (</w:t>
      </w:r>
      <w:r w:rsidRPr="00502566">
        <w:t>http://www.educationcounts.govt.nz/publications/tertiary_education</w:t>
      </w:r>
      <w:r>
        <w:t>).</w:t>
      </w:r>
      <w:r w:rsidR="004B1DE4">
        <w:br w:type="page"/>
      </w:r>
    </w:p>
    <w:p w:rsidR="00490245" w:rsidRPr="004F0B93" w:rsidRDefault="00F701F0" w:rsidP="00AE6826">
      <w:pPr>
        <w:pStyle w:val="Heading1"/>
      </w:pPr>
      <w:bookmarkStart w:id="3" w:name="_Toc386449899"/>
      <w:r w:rsidRPr="004F0B93">
        <w:lastRenderedPageBreak/>
        <w:t xml:space="preserve">How income changes </w:t>
      </w:r>
      <w:r w:rsidR="00485A2A">
        <w:t>for low-</w:t>
      </w:r>
      <w:r w:rsidR="009E0E60">
        <w:t xml:space="preserve">income </w:t>
      </w:r>
      <w:r w:rsidR="00AE6826">
        <w:t>students</w:t>
      </w:r>
      <w:r w:rsidR="009E0E60" w:rsidRPr="004F0B93">
        <w:t xml:space="preserve"> </w:t>
      </w:r>
      <w:r w:rsidR="000F32F1" w:rsidRPr="004F0B93">
        <w:t xml:space="preserve">after studying for a </w:t>
      </w:r>
      <w:r w:rsidRPr="004F0B93">
        <w:t xml:space="preserve">tertiary </w:t>
      </w:r>
      <w:r w:rsidR="00490245" w:rsidRPr="004F0B93">
        <w:t>qualification</w:t>
      </w:r>
      <w:bookmarkEnd w:id="3"/>
      <w:r w:rsidR="009E0E60">
        <w:t xml:space="preserve"> </w:t>
      </w:r>
    </w:p>
    <w:p w:rsidR="00B44A35" w:rsidRDefault="00950E28" w:rsidP="00EC1E98">
      <w:pPr>
        <w:pStyle w:val="BodyText"/>
      </w:pPr>
      <w:r>
        <w:t>Personal i</w:t>
      </w:r>
      <w:r w:rsidR="00B44A35">
        <w:t xml:space="preserve">ncome generally increases with time. As people become more experienced, they </w:t>
      </w:r>
      <w:r w:rsidR="00C43557">
        <w:t>achieve pay rises by taking on more responsibility</w:t>
      </w:r>
      <w:r w:rsidR="00B44A35">
        <w:t xml:space="preserve">, or they move into better paid jobs. For many people, this </w:t>
      </w:r>
      <w:r w:rsidR="00D26B2C">
        <w:t xml:space="preserve">career progression and </w:t>
      </w:r>
      <w:r w:rsidR="007263AA">
        <w:t xml:space="preserve">rise in income </w:t>
      </w:r>
      <w:r w:rsidR="00B44A35">
        <w:t>is facilitated by becoming more qualified.</w:t>
      </w:r>
    </w:p>
    <w:p w:rsidR="007263AA" w:rsidRDefault="007263AA" w:rsidP="007263AA">
      <w:pPr>
        <w:pStyle w:val="BodyText"/>
      </w:pPr>
      <w:r>
        <w:t xml:space="preserve">In this section we consider how income changes on completing a qualification for </w:t>
      </w:r>
      <w:r w:rsidR="00BE25C5">
        <w:t>student loan borrowers</w:t>
      </w:r>
      <w:r>
        <w:t xml:space="preserve"> with low </w:t>
      </w:r>
      <w:r w:rsidR="00B70B32">
        <w:t>pre-study income</w:t>
      </w:r>
      <w:r>
        <w:t xml:space="preserve">s; </w:t>
      </w:r>
      <w:r w:rsidR="00CC1813">
        <w:t xml:space="preserve">our definition of ‘low income’ is that </w:t>
      </w:r>
      <w:r>
        <w:t xml:space="preserve">a person had to have an income </w:t>
      </w:r>
      <w:r w:rsidR="00CC1813">
        <w:t>at the outset of the analysis period</w:t>
      </w:r>
      <w:r w:rsidR="00AE695D">
        <w:t xml:space="preserve"> </w:t>
      </w:r>
      <w:r>
        <w:t>below the student loan repayment threshold.</w:t>
      </w:r>
      <w:r w:rsidRPr="007263AA">
        <w:t xml:space="preserve"> </w:t>
      </w:r>
      <w:r>
        <w:t xml:space="preserve">Our results are shown in Figures </w:t>
      </w:r>
      <w:r w:rsidR="00D26B2C">
        <w:t>1</w:t>
      </w:r>
      <w:r>
        <w:t xml:space="preserve"> to </w:t>
      </w:r>
      <w:r w:rsidR="006F0654">
        <w:t>3</w:t>
      </w:r>
      <w:r>
        <w:t>.</w:t>
      </w:r>
      <w:r w:rsidR="00EB2B3E">
        <w:rPr>
          <w:rStyle w:val="FootnoteReference"/>
        </w:rPr>
        <w:footnoteReference w:id="7"/>
      </w:r>
      <w:r>
        <w:t xml:space="preserve"> There are some quite clear patterns.</w:t>
      </w:r>
    </w:p>
    <w:p w:rsidR="004B392F" w:rsidRDefault="004B392F" w:rsidP="004B392F">
      <w:pPr>
        <w:pStyle w:val="BodyText"/>
      </w:pPr>
      <w:r>
        <w:t>In many cases, completing a qualification results in a step increase in income, with larger step increases associated with completing higher-level qualifications. However, in some situations, completing a lower-level qualification results in essentially no change in income. This occurs predominately for those on a benefit</w:t>
      </w:r>
      <w:r w:rsidR="0096024A">
        <w:t xml:space="preserve">—being a proxy for engagement with the labour market—and </w:t>
      </w:r>
      <w:r>
        <w:t>for women.</w:t>
      </w:r>
    </w:p>
    <w:p w:rsidR="004B392F" w:rsidRDefault="004B392F" w:rsidP="004B392F">
      <w:pPr>
        <w:pStyle w:val="BodyText"/>
      </w:pPr>
      <w:r>
        <w:t>There is essentially no change in the income trajectory for people with low incomes in their thirties o</w:t>
      </w:r>
      <w:r w:rsidR="00D611AC">
        <w:t>r</w:t>
      </w:r>
      <w:r>
        <w:t xml:space="preserve"> forties who studied for a qualification but did not complete it. Younger people do see a step increase in income if they don’t complete, and this step is higher if they studied higher-level qualifications. But the step increase is always much less than the change in income if they did complete. These observations also apply to people in receipt of a benefit.</w:t>
      </w:r>
    </w:p>
    <w:p w:rsidR="004B392F" w:rsidRDefault="00C03132" w:rsidP="00EC1E98">
      <w:pPr>
        <w:pStyle w:val="BodyText"/>
      </w:pPr>
      <w:r>
        <w:t xml:space="preserve">Average </w:t>
      </w:r>
      <w:r w:rsidR="00CC1813">
        <w:t xml:space="preserve">pre-study </w:t>
      </w:r>
      <w:r>
        <w:t>incomes for people on a benefit are slightly higher for men</w:t>
      </w:r>
      <w:r w:rsidR="004B392F">
        <w:t xml:space="preserve"> in their forties</w:t>
      </w:r>
      <w:r>
        <w:t>, and somewhat higher for women</w:t>
      </w:r>
      <w:r w:rsidR="004B392F">
        <w:t xml:space="preserve"> in their thirties or older</w:t>
      </w:r>
      <w:r w:rsidR="003F6E60">
        <w:t>, compared to people not on a benefit</w:t>
      </w:r>
      <w:r w:rsidR="00BE25C5">
        <w:t xml:space="preserve">. </w:t>
      </w:r>
      <w:r w:rsidR="00D90071">
        <w:t xml:space="preserve">Young men in their twenties have lower incomes when on a benefit, while younger women </w:t>
      </w:r>
      <w:r w:rsidR="00D611AC">
        <w:t xml:space="preserve">on a benefit </w:t>
      </w:r>
      <w:r w:rsidR="00D90071">
        <w:t xml:space="preserve">have much the same incomes. </w:t>
      </w:r>
      <w:r w:rsidR="004B392F">
        <w:t xml:space="preserve">The annual rate of increase in income is generally lower for beneficiaries. The difference in income between beneficiaries and others is probably related to the fact that those on a benefit have a guaranteed income, while others may or may not have an income. The predominant benefit type also varies between men and women, with men on a benefit more likely to be on the unemployment benefit, while women on a benefit are </w:t>
      </w:r>
      <w:r w:rsidR="0096024A">
        <w:t>more</w:t>
      </w:r>
      <w:r w:rsidR="004B392F">
        <w:t xml:space="preserve"> likely to be on a dependent </w:t>
      </w:r>
      <w:r w:rsidR="00455BA4">
        <w:t xml:space="preserve">persons benefit. See Section </w:t>
      </w:r>
      <w:r w:rsidR="000E6E4C">
        <w:t>5</w:t>
      </w:r>
      <w:r w:rsidR="00455BA4">
        <w:t xml:space="preserve"> for more details </w:t>
      </w:r>
      <w:r w:rsidR="00355475">
        <w:t>regarding</w:t>
      </w:r>
      <w:r w:rsidR="00455BA4">
        <w:t xml:space="preserve"> the relationship between benefit type and gender</w:t>
      </w:r>
      <w:r w:rsidR="00355475">
        <w:t xml:space="preserve"> over the years of the study period</w:t>
      </w:r>
      <w:r w:rsidR="00455BA4">
        <w:t>.</w:t>
      </w:r>
    </w:p>
    <w:p w:rsidR="0045046A" w:rsidRDefault="0045046A" w:rsidP="00EC1E98">
      <w:pPr>
        <w:pStyle w:val="BodyText"/>
      </w:pPr>
      <w:r>
        <w:t>Another feature of the income trajectories is that the annual rise in income is lower for beneficiaries after completing a qualification, comparing people of similar age and gender. In many cases, the annual change in income for those on a benefit is relative flat. It also seems that on average, beneficiaries don’t receive as large a step increase in income as non-beneficiaries for completing the same level of qualification.</w:t>
      </w:r>
    </w:p>
    <w:p w:rsidR="0045046A" w:rsidRDefault="00455BA4" w:rsidP="0045046A">
      <w:pPr>
        <w:pStyle w:val="BodyText"/>
      </w:pPr>
      <w:r>
        <w:t xml:space="preserve">The exception to this appears to be </w:t>
      </w:r>
      <w:r w:rsidR="00E14185">
        <w:t xml:space="preserve">young </w:t>
      </w:r>
      <w:r>
        <w:t xml:space="preserve">adult males </w:t>
      </w:r>
      <w:r w:rsidR="00E14185">
        <w:t xml:space="preserve">with low incomes </w:t>
      </w:r>
      <w:r>
        <w:t>who are in their twenties when they complete a qualification. For these young men, beneficiaries have a smaller step increase on completing a qualification, at any level, but the annual rate of increase after completing is only slightly less than similar young men not on a benefit. In contrast, young women on a benefit have lower annual increases in income after completing a qualification than their peers not on a benefit. We note that the annual rise in income for young women not on a benefit is lower than their corresponding male counterparts.</w:t>
      </w:r>
    </w:p>
    <w:p w:rsidR="00236621" w:rsidRPr="001A4BE7" w:rsidRDefault="00236621" w:rsidP="00236621">
      <w:pPr>
        <w:pStyle w:val="Heading3"/>
        <w:pBdr>
          <w:top w:val="single" w:sz="4" w:space="1" w:color="auto"/>
          <w:left w:val="single" w:sz="4" w:space="4" w:color="auto"/>
          <w:bottom w:val="single" w:sz="4" w:space="1" w:color="auto"/>
          <w:right w:val="single" w:sz="4" w:space="4" w:color="auto"/>
        </w:pBdr>
        <w:spacing w:line="240" w:lineRule="auto"/>
        <w:jc w:val="both"/>
        <w:rPr>
          <w:rFonts w:cs="Arial"/>
          <w:sz w:val="18"/>
        </w:rPr>
      </w:pPr>
      <w:r w:rsidRPr="001A4BE7">
        <w:rPr>
          <w:rFonts w:cs="Arial"/>
          <w:sz w:val="18"/>
        </w:rPr>
        <w:lastRenderedPageBreak/>
        <w:t>Notes on the figures</w:t>
      </w:r>
    </w:p>
    <w:p w:rsidR="00236621" w:rsidRPr="001A4BE7" w:rsidRDefault="00236621" w:rsidP="00236621">
      <w:pPr>
        <w:pStyle w:val="BodyText"/>
        <w:pBdr>
          <w:top w:val="single" w:sz="4" w:space="1" w:color="auto"/>
          <w:left w:val="single" w:sz="4" w:space="4" w:color="auto"/>
          <w:bottom w:val="single" w:sz="4" w:space="1" w:color="auto"/>
          <w:right w:val="single" w:sz="4" w:space="4" w:color="auto"/>
        </w:pBdr>
        <w:spacing w:after="120"/>
        <w:rPr>
          <w:rFonts w:ascii="Arial" w:hAnsi="Arial" w:cs="Arial"/>
          <w:sz w:val="18"/>
        </w:rPr>
      </w:pPr>
      <w:r w:rsidRPr="001A4BE7">
        <w:rPr>
          <w:rFonts w:ascii="Arial" w:hAnsi="Arial" w:cs="Arial"/>
          <w:sz w:val="18"/>
        </w:rPr>
        <w:t xml:space="preserve">The </w:t>
      </w:r>
      <w:r w:rsidR="00F177F5">
        <w:rPr>
          <w:rFonts w:ascii="Arial" w:hAnsi="Arial" w:cs="Arial"/>
          <w:sz w:val="18"/>
        </w:rPr>
        <w:t xml:space="preserve">plotted </w:t>
      </w:r>
      <w:r w:rsidRPr="001A4BE7">
        <w:rPr>
          <w:rFonts w:ascii="Arial" w:hAnsi="Arial" w:cs="Arial"/>
          <w:sz w:val="18"/>
        </w:rPr>
        <w:t xml:space="preserve">results (Figures 1 to </w:t>
      </w:r>
      <w:r w:rsidR="00D1003F">
        <w:rPr>
          <w:rFonts w:ascii="Arial" w:hAnsi="Arial" w:cs="Arial"/>
          <w:sz w:val="18"/>
        </w:rPr>
        <w:t>3</w:t>
      </w:r>
      <w:r w:rsidRPr="001A4BE7">
        <w:rPr>
          <w:rFonts w:ascii="Arial" w:hAnsi="Arial" w:cs="Arial"/>
          <w:sz w:val="18"/>
        </w:rPr>
        <w:t xml:space="preserve">) are the results of regression models. The incomes </w:t>
      </w:r>
      <w:r w:rsidR="00D1003F">
        <w:rPr>
          <w:rFonts w:ascii="Arial" w:hAnsi="Arial" w:cs="Arial"/>
          <w:sz w:val="18"/>
        </w:rPr>
        <w:t xml:space="preserve">(in 2008 dollars) </w:t>
      </w:r>
      <w:r w:rsidRPr="001A4BE7">
        <w:rPr>
          <w:rFonts w:ascii="Arial" w:hAnsi="Arial" w:cs="Arial"/>
          <w:sz w:val="18"/>
        </w:rPr>
        <w:t>are estimated</w:t>
      </w:r>
      <w:r w:rsidR="0001558D">
        <w:rPr>
          <w:rFonts w:ascii="Arial" w:hAnsi="Arial" w:cs="Arial"/>
          <w:sz w:val="18"/>
        </w:rPr>
        <w:t xml:space="preserve"> average</w:t>
      </w:r>
      <w:r w:rsidRPr="001A4BE7">
        <w:rPr>
          <w:rFonts w:ascii="Arial" w:hAnsi="Arial" w:cs="Arial"/>
          <w:sz w:val="18"/>
        </w:rPr>
        <w:t xml:space="preserve"> incomes for </w:t>
      </w:r>
      <w:r w:rsidR="00D1003F">
        <w:rPr>
          <w:rFonts w:ascii="Arial" w:hAnsi="Arial" w:cs="Arial"/>
          <w:sz w:val="18"/>
        </w:rPr>
        <w:t xml:space="preserve">prototypical </w:t>
      </w:r>
      <w:r w:rsidR="0001558D">
        <w:rPr>
          <w:rFonts w:ascii="Arial" w:hAnsi="Arial" w:cs="Arial"/>
          <w:sz w:val="18"/>
        </w:rPr>
        <w:t>people</w:t>
      </w:r>
      <w:r w:rsidR="00F177F5">
        <w:rPr>
          <w:rFonts w:ascii="Arial" w:hAnsi="Arial" w:cs="Arial"/>
          <w:sz w:val="18"/>
        </w:rPr>
        <w:t xml:space="preserve"> with </w:t>
      </w:r>
      <w:r w:rsidRPr="001A4BE7">
        <w:rPr>
          <w:rFonts w:ascii="Arial" w:hAnsi="Arial" w:cs="Arial"/>
          <w:sz w:val="18"/>
        </w:rPr>
        <w:t>particular combination</w:t>
      </w:r>
      <w:r w:rsidR="0001558D">
        <w:rPr>
          <w:rFonts w:ascii="Arial" w:hAnsi="Arial" w:cs="Arial"/>
          <w:sz w:val="18"/>
        </w:rPr>
        <w:t>s</w:t>
      </w:r>
      <w:r w:rsidRPr="001A4BE7">
        <w:rPr>
          <w:rFonts w:ascii="Arial" w:hAnsi="Arial" w:cs="Arial"/>
          <w:sz w:val="18"/>
        </w:rPr>
        <w:t xml:space="preserve"> of factors. For example, Figure 1, top left hand panel, shows the estimated income, over time, for </w:t>
      </w:r>
      <w:r w:rsidR="0001558D">
        <w:rPr>
          <w:rFonts w:ascii="Arial" w:hAnsi="Arial" w:cs="Arial"/>
          <w:sz w:val="18"/>
        </w:rPr>
        <w:t>men in their</w:t>
      </w:r>
      <w:r w:rsidRPr="001A4BE7">
        <w:rPr>
          <w:rFonts w:ascii="Arial" w:hAnsi="Arial" w:cs="Arial"/>
          <w:sz w:val="18"/>
        </w:rPr>
        <w:t xml:space="preserve"> twenties. One line is for men before they studied, </w:t>
      </w:r>
      <w:r w:rsidR="00F177F5">
        <w:rPr>
          <w:rFonts w:ascii="Arial" w:hAnsi="Arial" w:cs="Arial"/>
          <w:sz w:val="18"/>
        </w:rPr>
        <w:t xml:space="preserve">and </w:t>
      </w:r>
      <w:r w:rsidRPr="001A4BE7">
        <w:rPr>
          <w:rFonts w:ascii="Arial" w:hAnsi="Arial" w:cs="Arial"/>
          <w:sz w:val="18"/>
        </w:rPr>
        <w:t xml:space="preserve">then </w:t>
      </w:r>
      <w:r w:rsidR="00F177F5">
        <w:rPr>
          <w:rFonts w:ascii="Arial" w:hAnsi="Arial" w:cs="Arial"/>
          <w:sz w:val="18"/>
        </w:rPr>
        <w:t xml:space="preserve">after they </w:t>
      </w:r>
      <w:r w:rsidRPr="001A4BE7">
        <w:rPr>
          <w:rFonts w:ascii="Arial" w:hAnsi="Arial" w:cs="Arial"/>
          <w:sz w:val="18"/>
        </w:rPr>
        <w:t xml:space="preserve">completed studying for a certificate at levels 1 to 3, who were not in receipt of a benefit. This line separates into the estimated income for </w:t>
      </w:r>
      <w:r w:rsidR="0001558D">
        <w:rPr>
          <w:rFonts w:ascii="Arial" w:hAnsi="Arial" w:cs="Arial"/>
          <w:sz w:val="18"/>
        </w:rPr>
        <w:t>a</w:t>
      </w:r>
      <w:r w:rsidRPr="001A4BE7">
        <w:rPr>
          <w:rFonts w:ascii="Arial" w:hAnsi="Arial" w:cs="Arial"/>
          <w:sz w:val="18"/>
        </w:rPr>
        <w:t xml:space="preserve"> m</w:t>
      </w:r>
      <w:r w:rsidR="0001558D">
        <w:rPr>
          <w:rFonts w:ascii="Arial" w:hAnsi="Arial" w:cs="Arial"/>
          <w:sz w:val="18"/>
        </w:rPr>
        <w:t>a</w:t>
      </w:r>
      <w:r w:rsidRPr="001A4BE7">
        <w:rPr>
          <w:rFonts w:ascii="Arial" w:hAnsi="Arial" w:cs="Arial"/>
          <w:sz w:val="18"/>
        </w:rPr>
        <w:t>n who completed that qualification</w:t>
      </w:r>
      <w:r w:rsidR="00A62D00" w:rsidRPr="001A4BE7">
        <w:rPr>
          <w:rFonts w:ascii="Arial" w:hAnsi="Arial" w:cs="Arial"/>
          <w:sz w:val="18"/>
        </w:rPr>
        <w:t xml:space="preserve"> (solid</w:t>
      </w:r>
      <w:r w:rsidR="000A1D24">
        <w:rPr>
          <w:rFonts w:ascii="Arial" w:hAnsi="Arial" w:cs="Arial"/>
          <w:sz w:val="18"/>
        </w:rPr>
        <w:t xml:space="preserve"> black</w:t>
      </w:r>
      <w:r w:rsidR="00A62D00" w:rsidRPr="001A4BE7">
        <w:rPr>
          <w:rFonts w:ascii="Arial" w:hAnsi="Arial" w:cs="Arial"/>
          <w:sz w:val="18"/>
        </w:rPr>
        <w:t xml:space="preserve"> line)</w:t>
      </w:r>
      <w:r w:rsidRPr="001A4BE7">
        <w:rPr>
          <w:rFonts w:ascii="Arial" w:hAnsi="Arial" w:cs="Arial"/>
          <w:sz w:val="18"/>
        </w:rPr>
        <w:t xml:space="preserve">, and another for </w:t>
      </w:r>
      <w:r w:rsidR="0001558D">
        <w:rPr>
          <w:rFonts w:ascii="Arial" w:hAnsi="Arial" w:cs="Arial"/>
          <w:sz w:val="18"/>
        </w:rPr>
        <w:t xml:space="preserve">a man </w:t>
      </w:r>
      <w:r w:rsidRPr="001A4BE7">
        <w:rPr>
          <w:rFonts w:ascii="Arial" w:hAnsi="Arial" w:cs="Arial"/>
          <w:sz w:val="18"/>
        </w:rPr>
        <w:t>who did not complete that qualification</w:t>
      </w:r>
      <w:r w:rsidR="00A62D00" w:rsidRPr="001A4BE7">
        <w:rPr>
          <w:rFonts w:ascii="Arial" w:hAnsi="Arial" w:cs="Arial"/>
          <w:sz w:val="18"/>
        </w:rPr>
        <w:t xml:space="preserve"> (dashed </w:t>
      </w:r>
      <w:r w:rsidR="000A1D24">
        <w:rPr>
          <w:rFonts w:ascii="Arial" w:hAnsi="Arial" w:cs="Arial"/>
          <w:sz w:val="18"/>
        </w:rPr>
        <w:t xml:space="preserve">black </w:t>
      </w:r>
      <w:r w:rsidR="00A62D00" w:rsidRPr="001A4BE7">
        <w:rPr>
          <w:rFonts w:ascii="Arial" w:hAnsi="Arial" w:cs="Arial"/>
          <w:sz w:val="18"/>
        </w:rPr>
        <w:t>line)</w:t>
      </w:r>
      <w:r w:rsidRPr="001A4BE7">
        <w:rPr>
          <w:rFonts w:ascii="Arial" w:hAnsi="Arial" w:cs="Arial"/>
          <w:sz w:val="18"/>
        </w:rPr>
        <w:t xml:space="preserve">. The second line in that figure is for men who </w:t>
      </w:r>
      <w:r w:rsidRPr="00F177F5">
        <w:rPr>
          <w:rFonts w:ascii="Arial" w:hAnsi="Arial" w:cs="Arial"/>
          <w:sz w:val="18"/>
        </w:rPr>
        <w:t>were</w:t>
      </w:r>
      <w:r w:rsidRPr="001A4BE7">
        <w:rPr>
          <w:rFonts w:ascii="Arial" w:hAnsi="Arial" w:cs="Arial"/>
          <w:i/>
          <w:sz w:val="18"/>
        </w:rPr>
        <w:t xml:space="preserve"> </w:t>
      </w:r>
      <w:r w:rsidRPr="001A4BE7">
        <w:rPr>
          <w:rFonts w:ascii="Arial" w:hAnsi="Arial" w:cs="Arial"/>
          <w:sz w:val="18"/>
        </w:rPr>
        <w:t>on a benefit</w:t>
      </w:r>
      <w:r w:rsidR="00A62D00" w:rsidRPr="001A4BE7">
        <w:rPr>
          <w:rFonts w:ascii="Arial" w:hAnsi="Arial" w:cs="Arial"/>
          <w:sz w:val="18"/>
        </w:rPr>
        <w:t xml:space="preserve"> (gray line)</w:t>
      </w:r>
      <w:r w:rsidRPr="001A4BE7">
        <w:rPr>
          <w:rFonts w:ascii="Arial" w:hAnsi="Arial" w:cs="Arial"/>
          <w:sz w:val="18"/>
        </w:rPr>
        <w:t xml:space="preserve">, who also studied for a certificate at levels 1 to 3, and who either did or didn’t complete that qualification. The 2008 student loan repayment threshold is also shown </w:t>
      </w:r>
      <w:r w:rsidR="00F177F5">
        <w:rPr>
          <w:rFonts w:ascii="Arial" w:hAnsi="Arial" w:cs="Arial"/>
          <w:sz w:val="18"/>
        </w:rPr>
        <w:t>i</w:t>
      </w:r>
      <w:r w:rsidRPr="001A4BE7">
        <w:rPr>
          <w:rFonts w:ascii="Arial" w:hAnsi="Arial" w:cs="Arial"/>
          <w:sz w:val="18"/>
        </w:rPr>
        <w:t>n each figure.</w:t>
      </w:r>
    </w:p>
    <w:p w:rsidR="00236621" w:rsidRPr="001A4BE7" w:rsidRDefault="00236621" w:rsidP="00236621">
      <w:pPr>
        <w:pStyle w:val="BodyText"/>
        <w:pBdr>
          <w:top w:val="single" w:sz="4" w:space="1" w:color="auto"/>
          <w:left w:val="single" w:sz="4" w:space="4" w:color="auto"/>
          <w:bottom w:val="single" w:sz="4" w:space="1" w:color="auto"/>
          <w:right w:val="single" w:sz="4" w:space="4" w:color="auto"/>
        </w:pBdr>
        <w:spacing w:after="120"/>
        <w:rPr>
          <w:rFonts w:ascii="Arial" w:hAnsi="Arial" w:cs="Arial"/>
          <w:sz w:val="18"/>
        </w:rPr>
      </w:pPr>
      <w:r w:rsidRPr="001A4BE7">
        <w:rPr>
          <w:rFonts w:ascii="Arial" w:hAnsi="Arial" w:cs="Arial"/>
          <w:sz w:val="18"/>
        </w:rPr>
        <w:t xml:space="preserve">The x-axis shows time as years since the last enrolment. Time periods -3 to 0 indicate the estimated income for a particular group in the years prior to any study. Years 1 to 6 show the estimated income for a particular group after they’ve ended their study. The years actually enrolled in </w:t>
      </w:r>
      <w:r w:rsidR="00A62D00" w:rsidRPr="001A4BE7">
        <w:rPr>
          <w:rFonts w:ascii="Arial" w:hAnsi="Arial" w:cs="Arial"/>
          <w:sz w:val="18"/>
        </w:rPr>
        <w:t xml:space="preserve">tertiary </w:t>
      </w:r>
      <w:r w:rsidRPr="001A4BE7">
        <w:rPr>
          <w:rFonts w:ascii="Arial" w:hAnsi="Arial" w:cs="Arial"/>
          <w:sz w:val="18"/>
        </w:rPr>
        <w:t xml:space="preserve">study are not shown. This is done deliberately. In </w:t>
      </w:r>
      <w:r w:rsidR="00F177F5">
        <w:rPr>
          <w:rFonts w:ascii="Arial" w:hAnsi="Arial" w:cs="Arial"/>
          <w:sz w:val="18"/>
        </w:rPr>
        <w:t>the</w:t>
      </w:r>
      <w:r w:rsidRPr="001A4BE7">
        <w:rPr>
          <w:rFonts w:ascii="Arial" w:hAnsi="Arial" w:cs="Arial"/>
          <w:sz w:val="18"/>
        </w:rPr>
        <w:t xml:space="preserve"> models, we have a variable which estimates income during the enrolment years. This is generally negative, as peoples’ income is usually lower while they are studying, either because they are not working, or working </w:t>
      </w:r>
      <w:proofErr w:type="gramStart"/>
      <w:r w:rsidRPr="001A4BE7">
        <w:rPr>
          <w:rFonts w:ascii="Arial" w:hAnsi="Arial" w:cs="Arial"/>
          <w:sz w:val="18"/>
        </w:rPr>
        <w:t>less</w:t>
      </w:r>
      <w:proofErr w:type="gramEnd"/>
      <w:r w:rsidRPr="001A4BE7">
        <w:rPr>
          <w:rFonts w:ascii="Arial" w:hAnsi="Arial" w:cs="Arial"/>
          <w:sz w:val="18"/>
        </w:rPr>
        <w:t xml:space="preserve"> hours. It is usually more negative for younger people, and for those studying for higher-level qualifications. It is often not significantly different from zero for older people studying lower-level qualifications, </w:t>
      </w:r>
      <w:r w:rsidR="00A62D00" w:rsidRPr="001A4BE7">
        <w:rPr>
          <w:rFonts w:ascii="Arial" w:hAnsi="Arial" w:cs="Arial"/>
          <w:sz w:val="18"/>
        </w:rPr>
        <w:t xml:space="preserve">probably </w:t>
      </w:r>
      <w:r w:rsidRPr="001A4BE7">
        <w:rPr>
          <w:rFonts w:ascii="Arial" w:hAnsi="Arial" w:cs="Arial"/>
          <w:sz w:val="18"/>
        </w:rPr>
        <w:t>because the study is part-time and doesn’t impact on their income.</w:t>
      </w:r>
    </w:p>
    <w:p w:rsidR="00236621" w:rsidRPr="001A4BE7" w:rsidRDefault="00236621" w:rsidP="00236621">
      <w:pPr>
        <w:pStyle w:val="BodyText"/>
        <w:pBdr>
          <w:top w:val="single" w:sz="4" w:space="1" w:color="auto"/>
          <w:left w:val="single" w:sz="4" w:space="4" w:color="auto"/>
          <w:bottom w:val="single" w:sz="4" w:space="1" w:color="auto"/>
          <w:right w:val="single" w:sz="4" w:space="4" w:color="auto"/>
        </w:pBdr>
        <w:spacing w:after="120"/>
        <w:rPr>
          <w:rFonts w:ascii="Arial" w:hAnsi="Arial" w:cs="Arial"/>
          <w:sz w:val="18"/>
        </w:rPr>
      </w:pPr>
      <w:r w:rsidRPr="001A4BE7">
        <w:rPr>
          <w:rFonts w:ascii="Arial" w:hAnsi="Arial" w:cs="Arial"/>
          <w:sz w:val="18"/>
        </w:rPr>
        <w:t xml:space="preserve">When someone’s study ends, there are two components </w:t>
      </w:r>
      <w:r w:rsidR="00A62D00" w:rsidRPr="001A4BE7">
        <w:rPr>
          <w:rFonts w:ascii="Arial" w:hAnsi="Arial" w:cs="Arial"/>
          <w:sz w:val="18"/>
        </w:rPr>
        <w:t>to the</w:t>
      </w:r>
      <w:r w:rsidRPr="001A4BE7">
        <w:rPr>
          <w:rFonts w:ascii="Arial" w:hAnsi="Arial" w:cs="Arial"/>
          <w:sz w:val="18"/>
        </w:rPr>
        <w:t xml:space="preserve"> change in their income; there is the change back to the ‘usual’ income because they are no longer studying, and there is the possible change in income due to completing a qualification. If we don’t separate these two components in the models, then we would over-estimate the step change in income </w:t>
      </w:r>
      <w:r w:rsidR="00A62D00" w:rsidRPr="001A4BE7">
        <w:rPr>
          <w:rFonts w:ascii="Arial" w:hAnsi="Arial" w:cs="Arial"/>
          <w:sz w:val="18"/>
        </w:rPr>
        <w:t>due to the actual completion of a qualification, as opposed to the cessation of study itself</w:t>
      </w:r>
      <w:r w:rsidRPr="001A4BE7">
        <w:rPr>
          <w:rFonts w:ascii="Arial" w:hAnsi="Arial" w:cs="Arial"/>
          <w:sz w:val="18"/>
        </w:rPr>
        <w:t xml:space="preserve">. The lines in the figures track the </w:t>
      </w:r>
      <w:r w:rsidR="009509AF">
        <w:rPr>
          <w:rFonts w:ascii="Arial" w:hAnsi="Arial" w:cs="Arial"/>
          <w:sz w:val="18"/>
        </w:rPr>
        <w:t xml:space="preserve">expected </w:t>
      </w:r>
      <w:r w:rsidRPr="001A4BE7">
        <w:rPr>
          <w:rFonts w:ascii="Arial" w:hAnsi="Arial" w:cs="Arial"/>
          <w:sz w:val="18"/>
        </w:rPr>
        <w:t xml:space="preserve">change in income on completing </w:t>
      </w:r>
      <w:r w:rsidR="00A62D00" w:rsidRPr="001A4BE7">
        <w:rPr>
          <w:rFonts w:ascii="Arial" w:hAnsi="Arial" w:cs="Arial"/>
          <w:sz w:val="18"/>
        </w:rPr>
        <w:t xml:space="preserve">a qualification </w:t>
      </w:r>
      <w:r w:rsidRPr="001A4BE7">
        <w:rPr>
          <w:rFonts w:ascii="Arial" w:hAnsi="Arial" w:cs="Arial"/>
          <w:sz w:val="18"/>
        </w:rPr>
        <w:t>(or not) compared to the income for a group before any study.</w:t>
      </w:r>
    </w:p>
    <w:p w:rsidR="00236621" w:rsidRDefault="00A62D00" w:rsidP="00236621">
      <w:pPr>
        <w:pStyle w:val="BodyText"/>
        <w:pBdr>
          <w:top w:val="single" w:sz="4" w:space="1" w:color="auto"/>
          <w:left w:val="single" w:sz="4" w:space="4" w:color="auto"/>
          <w:bottom w:val="single" w:sz="4" w:space="1" w:color="auto"/>
          <w:right w:val="single" w:sz="4" w:space="4" w:color="auto"/>
        </w:pBdr>
        <w:rPr>
          <w:rFonts w:ascii="Arial" w:hAnsi="Arial" w:cs="Arial"/>
          <w:sz w:val="18"/>
        </w:rPr>
      </w:pPr>
      <w:r w:rsidRPr="001A4BE7">
        <w:rPr>
          <w:rFonts w:ascii="Arial" w:hAnsi="Arial" w:cs="Arial"/>
          <w:sz w:val="18"/>
        </w:rPr>
        <w:t>Personal c</w:t>
      </w:r>
      <w:r w:rsidR="00236621" w:rsidRPr="001A4BE7">
        <w:rPr>
          <w:rFonts w:ascii="Arial" w:hAnsi="Arial" w:cs="Arial"/>
          <w:sz w:val="18"/>
        </w:rPr>
        <w:t>haracteristics can be constant through time, like gender, or they can vary with time</w:t>
      </w:r>
      <w:r w:rsidR="00F177F5">
        <w:rPr>
          <w:rFonts w:ascii="Arial" w:hAnsi="Arial" w:cs="Arial"/>
          <w:sz w:val="18"/>
        </w:rPr>
        <w:t>, like being on a benefit</w:t>
      </w:r>
      <w:r w:rsidR="00236621" w:rsidRPr="001A4BE7">
        <w:rPr>
          <w:rFonts w:ascii="Arial" w:hAnsi="Arial" w:cs="Arial"/>
          <w:sz w:val="18"/>
        </w:rPr>
        <w:t>. Plotting estimated income trajectories for characteristics that are time-invariant is straightforward. We show separate figures for men and women, and for people who have the same highest level of study. However, for characteristics that can vary with time</w:t>
      </w:r>
      <w:r w:rsidRPr="001A4BE7">
        <w:rPr>
          <w:rFonts w:ascii="Arial" w:hAnsi="Arial" w:cs="Arial"/>
          <w:sz w:val="18"/>
        </w:rPr>
        <w:t>,</w:t>
      </w:r>
      <w:r w:rsidR="00236621" w:rsidRPr="001A4BE7">
        <w:rPr>
          <w:rFonts w:ascii="Arial" w:hAnsi="Arial" w:cs="Arial"/>
          <w:sz w:val="18"/>
        </w:rPr>
        <w:t xml:space="preserve"> what to plot is more problematic. Consider whether someone has a benefit or not. It is possible to show estimated income trajectories for people who are in receipt of a benefit in year 1, and not in any other year, or in year 2, and not in any other year, or in years 1 and 2, and not in any other year</w:t>
      </w:r>
      <w:r w:rsidRPr="001A4BE7">
        <w:rPr>
          <w:rFonts w:ascii="Arial" w:hAnsi="Arial" w:cs="Arial"/>
          <w:sz w:val="18"/>
        </w:rPr>
        <w:t>s</w:t>
      </w:r>
      <w:r w:rsidR="00236621" w:rsidRPr="001A4BE7">
        <w:rPr>
          <w:rFonts w:ascii="Arial" w:hAnsi="Arial" w:cs="Arial"/>
          <w:sz w:val="18"/>
        </w:rPr>
        <w:t>, etc. The possibilities, when combined with the other characteristics</w:t>
      </w:r>
      <w:r w:rsidRPr="001A4BE7">
        <w:rPr>
          <w:rFonts w:ascii="Arial" w:hAnsi="Arial" w:cs="Arial"/>
          <w:sz w:val="18"/>
        </w:rPr>
        <w:t xml:space="preserve"> we are modelling</w:t>
      </w:r>
      <w:r w:rsidR="00236621" w:rsidRPr="001A4BE7">
        <w:rPr>
          <w:rFonts w:ascii="Arial" w:hAnsi="Arial" w:cs="Arial"/>
          <w:sz w:val="18"/>
        </w:rPr>
        <w:t>,</w:t>
      </w:r>
      <w:r w:rsidRPr="001A4BE7">
        <w:rPr>
          <w:rFonts w:ascii="Arial" w:hAnsi="Arial" w:cs="Arial"/>
          <w:sz w:val="18"/>
        </w:rPr>
        <w:t xml:space="preserve"> quickly</w:t>
      </w:r>
      <w:r w:rsidR="00236621" w:rsidRPr="001A4BE7">
        <w:rPr>
          <w:rFonts w:ascii="Arial" w:hAnsi="Arial" w:cs="Arial"/>
          <w:sz w:val="18"/>
        </w:rPr>
        <w:t xml:space="preserve"> become unmanageable, and many combinations won’t be particularly informative. </w:t>
      </w:r>
      <w:r w:rsidRPr="001A4BE7">
        <w:rPr>
          <w:rFonts w:ascii="Arial" w:hAnsi="Arial" w:cs="Arial"/>
          <w:sz w:val="18"/>
        </w:rPr>
        <w:t>Instead, w</w:t>
      </w:r>
      <w:r w:rsidR="00236621" w:rsidRPr="001A4BE7">
        <w:rPr>
          <w:rFonts w:ascii="Arial" w:hAnsi="Arial" w:cs="Arial"/>
          <w:sz w:val="18"/>
        </w:rPr>
        <w:t xml:space="preserve">hat we have done is to plot the two end points of these possibilities; one line shows the estimated income for </w:t>
      </w:r>
      <w:r w:rsidR="0001558D">
        <w:rPr>
          <w:rFonts w:ascii="Arial" w:hAnsi="Arial" w:cs="Arial"/>
          <w:sz w:val="18"/>
        </w:rPr>
        <w:t xml:space="preserve">a prototypical person </w:t>
      </w:r>
      <w:r w:rsidR="00236621" w:rsidRPr="001A4BE7">
        <w:rPr>
          <w:rFonts w:ascii="Arial" w:hAnsi="Arial" w:cs="Arial"/>
          <w:sz w:val="18"/>
        </w:rPr>
        <w:t xml:space="preserve">who </w:t>
      </w:r>
      <w:r w:rsidR="0001558D">
        <w:rPr>
          <w:rFonts w:ascii="Arial" w:hAnsi="Arial" w:cs="Arial"/>
          <w:sz w:val="18"/>
        </w:rPr>
        <w:t xml:space="preserve">is </w:t>
      </w:r>
      <w:r w:rsidR="00236621" w:rsidRPr="001A4BE7">
        <w:rPr>
          <w:rFonts w:ascii="Arial" w:hAnsi="Arial" w:cs="Arial"/>
          <w:i/>
          <w:sz w:val="18"/>
        </w:rPr>
        <w:t xml:space="preserve">never </w:t>
      </w:r>
      <w:r w:rsidR="00236621" w:rsidRPr="001A4BE7">
        <w:rPr>
          <w:rFonts w:ascii="Arial" w:hAnsi="Arial" w:cs="Arial"/>
          <w:sz w:val="18"/>
        </w:rPr>
        <w:t xml:space="preserve">on a benefit in any year, and </w:t>
      </w:r>
      <w:r w:rsidR="000E6E4C">
        <w:rPr>
          <w:rFonts w:ascii="Arial" w:hAnsi="Arial" w:cs="Arial"/>
          <w:sz w:val="18"/>
        </w:rPr>
        <w:t>the other line is</w:t>
      </w:r>
      <w:r w:rsidR="00236621" w:rsidRPr="001A4BE7">
        <w:rPr>
          <w:rFonts w:ascii="Arial" w:hAnsi="Arial" w:cs="Arial"/>
          <w:sz w:val="18"/>
        </w:rPr>
        <w:t xml:space="preserve"> for </w:t>
      </w:r>
      <w:r w:rsidR="0001558D">
        <w:rPr>
          <w:rFonts w:ascii="Arial" w:hAnsi="Arial" w:cs="Arial"/>
          <w:sz w:val="18"/>
        </w:rPr>
        <w:t>a prototypical person who is</w:t>
      </w:r>
      <w:r w:rsidR="00236621" w:rsidRPr="001A4BE7">
        <w:rPr>
          <w:rFonts w:ascii="Arial" w:hAnsi="Arial" w:cs="Arial"/>
          <w:sz w:val="18"/>
        </w:rPr>
        <w:t xml:space="preserve"> on a</w:t>
      </w:r>
      <w:r w:rsidR="0001558D">
        <w:rPr>
          <w:rFonts w:ascii="Arial" w:hAnsi="Arial" w:cs="Arial"/>
          <w:sz w:val="18"/>
        </w:rPr>
        <w:t>ny</w:t>
      </w:r>
      <w:r w:rsidR="00236621" w:rsidRPr="001A4BE7">
        <w:rPr>
          <w:rFonts w:ascii="Arial" w:hAnsi="Arial" w:cs="Arial"/>
          <w:sz w:val="18"/>
        </w:rPr>
        <w:t xml:space="preserve"> benefit </w:t>
      </w:r>
      <w:r w:rsidRPr="001A4BE7">
        <w:rPr>
          <w:rFonts w:ascii="Arial" w:hAnsi="Arial" w:cs="Arial"/>
          <w:sz w:val="18"/>
        </w:rPr>
        <w:t xml:space="preserve">for at least one month </w:t>
      </w:r>
      <w:r w:rsidR="00236621" w:rsidRPr="001A4BE7">
        <w:rPr>
          <w:rFonts w:ascii="Arial" w:hAnsi="Arial" w:cs="Arial"/>
          <w:sz w:val="18"/>
        </w:rPr>
        <w:t xml:space="preserve">in </w:t>
      </w:r>
      <w:r w:rsidR="000E6E4C">
        <w:rPr>
          <w:rFonts w:ascii="Arial" w:hAnsi="Arial" w:cs="Arial"/>
          <w:i/>
          <w:sz w:val="18"/>
        </w:rPr>
        <w:t>each</w:t>
      </w:r>
      <w:r w:rsidR="00236621" w:rsidRPr="001A4BE7">
        <w:rPr>
          <w:rFonts w:ascii="Arial" w:hAnsi="Arial" w:cs="Arial"/>
          <w:i/>
          <w:sz w:val="18"/>
        </w:rPr>
        <w:t xml:space="preserve"> </w:t>
      </w:r>
      <w:r w:rsidR="00236621" w:rsidRPr="001A4BE7">
        <w:rPr>
          <w:rFonts w:ascii="Arial" w:hAnsi="Arial" w:cs="Arial"/>
          <w:sz w:val="18"/>
        </w:rPr>
        <w:t>year. The two lines indicate the upper and lower limits of income for the particular combination of characteristics being plotted.</w:t>
      </w:r>
    </w:p>
    <w:p w:rsidR="00A807DB" w:rsidRDefault="00EA5660" w:rsidP="00236621">
      <w:pPr>
        <w:pStyle w:val="BodyText"/>
        <w:pBdr>
          <w:top w:val="single" w:sz="4" w:space="1" w:color="auto"/>
          <w:left w:val="single" w:sz="4" w:space="4" w:color="auto"/>
          <w:bottom w:val="single" w:sz="4" w:space="1" w:color="auto"/>
          <w:right w:val="single" w:sz="4" w:space="4" w:color="auto"/>
        </w:pBdr>
        <w:rPr>
          <w:rFonts w:ascii="Arial" w:hAnsi="Arial" w:cs="Arial"/>
          <w:sz w:val="18"/>
        </w:rPr>
      </w:pPr>
      <w:r>
        <w:rPr>
          <w:rFonts w:ascii="Arial" w:hAnsi="Arial" w:cs="Arial"/>
          <w:sz w:val="18"/>
        </w:rPr>
        <w:t xml:space="preserve">The study populations were </w:t>
      </w:r>
      <w:r w:rsidR="00603E83">
        <w:rPr>
          <w:rFonts w:ascii="Arial" w:hAnsi="Arial" w:cs="Arial"/>
          <w:sz w:val="18"/>
        </w:rPr>
        <w:t>people</w:t>
      </w:r>
      <w:r w:rsidR="00A4056F">
        <w:rPr>
          <w:rFonts w:ascii="Arial" w:hAnsi="Arial" w:cs="Arial"/>
          <w:sz w:val="18"/>
        </w:rPr>
        <w:t xml:space="preserve"> living</w:t>
      </w:r>
      <w:r w:rsidR="00603E83">
        <w:rPr>
          <w:rFonts w:ascii="Arial" w:hAnsi="Arial" w:cs="Arial"/>
          <w:sz w:val="18"/>
        </w:rPr>
        <w:t xml:space="preserve"> in New Zealand, who were either 20, 30</w:t>
      </w:r>
      <w:r w:rsidR="0001558D">
        <w:rPr>
          <w:rFonts w:ascii="Arial" w:hAnsi="Arial" w:cs="Arial"/>
          <w:sz w:val="18"/>
        </w:rPr>
        <w:t xml:space="preserve"> or</w:t>
      </w:r>
      <w:r w:rsidR="00603E83">
        <w:rPr>
          <w:rFonts w:ascii="Arial" w:hAnsi="Arial" w:cs="Arial"/>
          <w:sz w:val="18"/>
        </w:rPr>
        <w:t xml:space="preserve"> 40 years of age in 1999, with pre-study incomes </w:t>
      </w:r>
      <w:r w:rsidR="00EF5D34">
        <w:rPr>
          <w:rFonts w:ascii="Arial" w:hAnsi="Arial" w:cs="Arial"/>
          <w:sz w:val="18"/>
        </w:rPr>
        <w:t xml:space="preserve">in 1999 </w:t>
      </w:r>
      <w:r w:rsidR="00603E83">
        <w:rPr>
          <w:rFonts w:ascii="Arial" w:hAnsi="Arial" w:cs="Arial"/>
          <w:sz w:val="18"/>
        </w:rPr>
        <w:t xml:space="preserve">below the 2008 student loan repayment threshold. </w:t>
      </w:r>
      <w:r w:rsidR="003F6E60">
        <w:rPr>
          <w:rFonts w:ascii="Arial" w:hAnsi="Arial" w:cs="Arial"/>
          <w:sz w:val="18"/>
        </w:rPr>
        <w:t xml:space="preserve">People with zero income in every year of the study were excluded. </w:t>
      </w:r>
      <w:r w:rsidR="00A4056F">
        <w:rPr>
          <w:rFonts w:ascii="Arial" w:hAnsi="Arial" w:cs="Arial"/>
          <w:sz w:val="18"/>
        </w:rPr>
        <w:t xml:space="preserve">Sample sizes </w:t>
      </w:r>
      <w:r w:rsidR="009509AF">
        <w:rPr>
          <w:rFonts w:ascii="Arial" w:hAnsi="Arial" w:cs="Arial"/>
          <w:sz w:val="18"/>
        </w:rPr>
        <w:t xml:space="preserve">(randomly rounded to base 3) </w:t>
      </w:r>
      <w:r w:rsidR="00A4056F">
        <w:rPr>
          <w:rFonts w:ascii="Arial" w:hAnsi="Arial" w:cs="Arial"/>
          <w:sz w:val="18"/>
        </w:rPr>
        <w:t>are provided in the following table.</w:t>
      </w:r>
    </w:p>
    <w:p w:rsidR="00A4056F" w:rsidRDefault="004869D0" w:rsidP="004869D0">
      <w:pPr>
        <w:pStyle w:val="BodyText"/>
        <w:pBdr>
          <w:top w:val="single" w:sz="4" w:space="1" w:color="auto"/>
          <w:left w:val="single" w:sz="4" w:space="4" w:color="auto"/>
          <w:bottom w:val="single" w:sz="4" w:space="1" w:color="auto"/>
          <w:right w:val="single" w:sz="4" w:space="4" w:color="auto"/>
        </w:pBdr>
        <w:tabs>
          <w:tab w:val="right" w:pos="3969"/>
          <w:tab w:val="right" w:pos="5103"/>
          <w:tab w:val="right" w:pos="6237"/>
          <w:tab w:val="right" w:pos="7371"/>
        </w:tabs>
        <w:rPr>
          <w:rFonts w:ascii="Arial" w:hAnsi="Arial" w:cs="Arial"/>
          <w:sz w:val="18"/>
        </w:rPr>
      </w:pPr>
      <w:r>
        <w:rPr>
          <w:rFonts w:ascii="Arial" w:hAnsi="Arial" w:cs="Arial"/>
          <w:sz w:val="18"/>
        </w:rPr>
        <w:tab/>
      </w:r>
      <w:r w:rsidR="0001558D">
        <w:rPr>
          <w:rFonts w:ascii="Arial" w:hAnsi="Arial" w:cs="Arial"/>
          <w:sz w:val="18"/>
        </w:rPr>
        <w:t xml:space="preserve">         </w:t>
      </w:r>
      <w:r w:rsidRPr="004869D0">
        <w:rPr>
          <w:rFonts w:ascii="Arial" w:hAnsi="Arial" w:cs="Arial"/>
          <w:sz w:val="18"/>
        </w:rPr>
        <w:tab/>
      </w:r>
      <w:r w:rsidRPr="004869D0">
        <w:rPr>
          <w:rFonts w:ascii="Arial" w:hAnsi="Arial" w:cs="Arial"/>
          <w:i/>
          <w:sz w:val="18"/>
        </w:rPr>
        <w:t>Age in 1999</w:t>
      </w:r>
      <w:r w:rsidRPr="004869D0">
        <w:rPr>
          <w:rFonts w:ascii="Arial" w:hAnsi="Arial" w:cs="Arial"/>
          <w:i/>
          <w:sz w:val="18"/>
        </w:rPr>
        <w:tab/>
      </w:r>
      <w:r w:rsidRPr="004869D0">
        <w:rPr>
          <w:rFonts w:ascii="Arial" w:hAnsi="Arial" w:cs="Arial"/>
          <w:i/>
          <w:sz w:val="18"/>
          <w:u w:val="single"/>
        </w:rPr>
        <w:br/>
      </w:r>
      <w:r w:rsidR="00A4056F" w:rsidRPr="004869D0">
        <w:rPr>
          <w:rFonts w:ascii="Arial" w:hAnsi="Arial" w:cs="Arial"/>
          <w:i/>
          <w:sz w:val="18"/>
          <w:u w:val="single"/>
        </w:rPr>
        <w:t>Highest level of study</w:t>
      </w:r>
      <w:r w:rsidR="00A9722D">
        <w:rPr>
          <w:rFonts w:ascii="Arial" w:hAnsi="Arial" w:cs="Arial"/>
          <w:i/>
          <w:sz w:val="18"/>
          <w:u w:val="single"/>
        </w:rPr>
        <w:t xml:space="preserve"> (if any)</w:t>
      </w:r>
      <w:r w:rsidR="00A4056F" w:rsidRPr="004869D0">
        <w:rPr>
          <w:rFonts w:ascii="Arial" w:hAnsi="Arial" w:cs="Arial"/>
          <w:sz w:val="18"/>
          <w:u w:val="single"/>
        </w:rPr>
        <w:tab/>
        <w:t>20</w:t>
      </w:r>
      <w:r w:rsidR="00A4056F" w:rsidRPr="004869D0">
        <w:rPr>
          <w:rFonts w:ascii="Arial" w:hAnsi="Arial" w:cs="Arial"/>
          <w:sz w:val="18"/>
          <w:u w:val="single"/>
        </w:rPr>
        <w:tab/>
        <w:t>30</w:t>
      </w:r>
      <w:r w:rsidR="00A4056F" w:rsidRPr="004869D0">
        <w:rPr>
          <w:rFonts w:ascii="Arial" w:hAnsi="Arial" w:cs="Arial"/>
          <w:sz w:val="18"/>
          <w:u w:val="single"/>
        </w:rPr>
        <w:tab/>
        <w:t>40</w:t>
      </w:r>
      <w:r w:rsidR="00A4056F">
        <w:rPr>
          <w:rFonts w:ascii="Arial" w:hAnsi="Arial" w:cs="Arial"/>
          <w:sz w:val="18"/>
        </w:rPr>
        <w:br/>
        <w:t>Certificates at levels 1 to 3</w:t>
      </w:r>
      <w:r w:rsidR="00A4056F">
        <w:rPr>
          <w:rFonts w:ascii="Arial" w:hAnsi="Arial" w:cs="Arial"/>
          <w:sz w:val="18"/>
        </w:rPr>
        <w:tab/>
        <w:t>61,041</w:t>
      </w:r>
      <w:r>
        <w:rPr>
          <w:rFonts w:ascii="Arial" w:hAnsi="Arial" w:cs="Arial"/>
          <w:sz w:val="18"/>
        </w:rPr>
        <w:tab/>
      </w:r>
      <w:r w:rsidR="004F474F">
        <w:rPr>
          <w:rFonts w:ascii="Arial" w:hAnsi="Arial" w:cs="Arial"/>
          <w:sz w:val="18"/>
        </w:rPr>
        <w:t>46</w:t>
      </w:r>
      <w:r>
        <w:rPr>
          <w:rFonts w:ascii="Arial" w:hAnsi="Arial" w:cs="Arial"/>
          <w:sz w:val="18"/>
        </w:rPr>
        <w:t>,302</w:t>
      </w:r>
      <w:r>
        <w:rPr>
          <w:rFonts w:ascii="Arial" w:hAnsi="Arial" w:cs="Arial"/>
          <w:sz w:val="18"/>
        </w:rPr>
        <w:tab/>
        <w:t>43,842</w:t>
      </w:r>
      <w:r>
        <w:rPr>
          <w:rFonts w:ascii="Arial" w:hAnsi="Arial" w:cs="Arial"/>
          <w:sz w:val="18"/>
        </w:rPr>
        <w:br/>
        <w:t>Certificates at level 4</w:t>
      </w:r>
      <w:r>
        <w:rPr>
          <w:rFonts w:ascii="Arial" w:hAnsi="Arial" w:cs="Arial"/>
          <w:sz w:val="18"/>
        </w:rPr>
        <w:tab/>
        <w:t>61,197</w:t>
      </w:r>
      <w:r>
        <w:rPr>
          <w:rFonts w:ascii="Arial" w:hAnsi="Arial" w:cs="Arial"/>
          <w:sz w:val="18"/>
        </w:rPr>
        <w:tab/>
        <w:t>46,764</w:t>
      </w:r>
      <w:r>
        <w:rPr>
          <w:rFonts w:ascii="Arial" w:hAnsi="Arial" w:cs="Arial"/>
          <w:sz w:val="18"/>
        </w:rPr>
        <w:tab/>
        <w:t>44,070</w:t>
      </w:r>
      <w:r>
        <w:rPr>
          <w:rFonts w:ascii="Arial" w:hAnsi="Arial" w:cs="Arial"/>
          <w:sz w:val="18"/>
        </w:rPr>
        <w:tab/>
      </w:r>
      <w:r>
        <w:rPr>
          <w:rFonts w:ascii="Arial" w:hAnsi="Arial" w:cs="Arial"/>
          <w:sz w:val="18"/>
        </w:rPr>
        <w:br/>
        <w:t>Diplomas</w:t>
      </w:r>
      <w:r>
        <w:rPr>
          <w:rFonts w:ascii="Arial" w:hAnsi="Arial" w:cs="Arial"/>
          <w:sz w:val="18"/>
        </w:rPr>
        <w:tab/>
        <w:t>64,713</w:t>
      </w:r>
      <w:r>
        <w:rPr>
          <w:rFonts w:ascii="Arial" w:hAnsi="Arial" w:cs="Arial"/>
          <w:sz w:val="18"/>
        </w:rPr>
        <w:tab/>
        <w:t>48,519</w:t>
      </w:r>
      <w:r>
        <w:rPr>
          <w:rFonts w:ascii="Arial" w:hAnsi="Arial" w:cs="Arial"/>
          <w:sz w:val="18"/>
        </w:rPr>
        <w:tab/>
        <w:t>45,336</w:t>
      </w:r>
      <w:r>
        <w:rPr>
          <w:rFonts w:ascii="Arial" w:hAnsi="Arial" w:cs="Arial"/>
          <w:sz w:val="18"/>
        </w:rPr>
        <w:br/>
      </w:r>
      <w:proofErr w:type="spellStart"/>
      <w:r>
        <w:rPr>
          <w:rFonts w:ascii="Arial" w:hAnsi="Arial" w:cs="Arial"/>
          <w:sz w:val="18"/>
        </w:rPr>
        <w:t>Bachlors</w:t>
      </w:r>
      <w:proofErr w:type="spellEnd"/>
      <w:r>
        <w:rPr>
          <w:rFonts w:ascii="Arial" w:hAnsi="Arial" w:cs="Arial"/>
          <w:sz w:val="18"/>
        </w:rPr>
        <w:t xml:space="preserve"> degrees</w:t>
      </w:r>
      <w:r>
        <w:rPr>
          <w:rFonts w:ascii="Arial" w:hAnsi="Arial" w:cs="Arial"/>
          <w:sz w:val="18"/>
        </w:rPr>
        <w:tab/>
        <w:t>72,954</w:t>
      </w:r>
      <w:r>
        <w:rPr>
          <w:rFonts w:ascii="Arial" w:hAnsi="Arial" w:cs="Arial"/>
          <w:sz w:val="18"/>
        </w:rPr>
        <w:tab/>
        <w:t>50,301</w:t>
      </w:r>
      <w:r>
        <w:rPr>
          <w:rFonts w:ascii="Arial" w:hAnsi="Arial" w:cs="Arial"/>
          <w:sz w:val="18"/>
        </w:rPr>
        <w:tab/>
        <w:t>46,371</w:t>
      </w:r>
    </w:p>
    <w:p w:rsidR="009E02C1" w:rsidRPr="009E02C1" w:rsidRDefault="009E02C1" w:rsidP="004869D0">
      <w:pPr>
        <w:pStyle w:val="BodyText"/>
        <w:pBdr>
          <w:top w:val="single" w:sz="4" w:space="1" w:color="auto"/>
          <w:left w:val="single" w:sz="4" w:space="4" w:color="auto"/>
          <w:bottom w:val="single" w:sz="4" w:space="1" w:color="auto"/>
          <w:right w:val="single" w:sz="4" w:space="4" w:color="auto"/>
        </w:pBdr>
        <w:tabs>
          <w:tab w:val="right" w:pos="3969"/>
          <w:tab w:val="right" w:pos="5103"/>
          <w:tab w:val="right" w:pos="6237"/>
          <w:tab w:val="right" w:pos="7371"/>
        </w:tabs>
        <w:rPr>
          <w:rFonts w:ascii="Arial" w:hAnsi="Arial" w:cs="Arial"/>
          <w:sz w:val="16"/>
        </w:rPr>
      </w:pPr>
      <w:r w:rsidRPr="009E02C1">
        <w:rPr>
          <w:rFonts w:ascii="Arial" w:hAnsi="Arial" w:cs="Arial"/>
          <w:sz w:val="16"/>
        </w:rPr>
        <w:t>Source: Statistics NZ Integrated Data Infrastructure, Ministry of Education interpretation.</w:t>
      </w:r>
    </w:p>
    <w:p w:rsidR="0000482C" w:rsidRPr="00B90F3D" w:rsidRDefault="006311D6" w:rsidP="006311D6">
      <w:pPr>
        <w:pStyle w:val="Caption"/>
        <w:ind w:right="-285"/>
        <w:rPr>
          <w:sz w:val="16"/>
        </w:rPr>
      </w:pPr>
      <w:bookmarkStart w:id="4" w:name="_Ref356979355"/>
      <w:proofErr w:type="gramStart"/>
      <w:r w:rsidRPr="00B90F3D">
        <w:rPr>
          <w:sz w:val="16"/>
        </w:rPr>
        <w:lastRenderedPageBreak/>
        <w:t xml:space="preserve">Figure </w:t>
      </w:r>
      <w:r w:rsidR="0092253D" w:rsidRPr="00B90F3D">
        <w:rPr>
          <w:sz w:val="16"/>
        </w:rPr>
        <w:fldChar w:fldCharType="begin"/>
      </w:r>
      <w:r w:rsidR="00CC0355" w:rsidRPr="00B90F3D">
        <w:rPr>
          <w:sz w:val="16"/>
        </w:rPr>
        <w:instrText xml:space="preserve"> SEQ Figure \* ARABIC </w:instrText>
      </w:r>
      <w:r w:rsidR="0092253D" w:rsidRPr="00B90F3D">
        <w:rPr>
          <w:sz w:val="16"/>
        </w:rPr>
        <w:fldChar w:fldCharType="separate"/>
      </w:r>
      <w:r w:rsidR="00D15EF8">
        <w:rPr>
          <w:noProof/>
          <w:sz w:val="16"/>
        </w:rPr>
        <w:t>1</w:t>
      </w:r>
      <w:r w:rsidR="0092253D" w:rsidRPr="00B90F3D">
        <w:rPr>
          <w:sz w:val="16"/>
        </w:rPr>
        <w:fldChar w:fldCharType="end"/>
      </w:r>
      <w:bookmarkEnd w:id="4"/>
      <w:r w:rsidRPr="00B90F3D">
        <w:rPr>
          <w:sz w:val="16"/>
        </w:rPr>
        <w:t>.</w:t>
      </w:r>
      <w:proofErr w:type="gramEnd"/>
      <w:r w:rsidR="00794C7E" w:rsidRPr="00B90F3D">
        <w:rPr>
          <w:sz w:val="16"/>
        </w:rPr>
        <w:t xml:space="preserve"> </w:t>
      </w:r>
      <w:r w:rsidR="00D9528F">
        <w:rPr>
          <w:b w:val="0"/>
          <w:sz w:val="16"/>
        </w:rPr>
        <w:t>Expected average</w:t>
      </w:r>
      <w:r w:rsidR="00794C7E" w:rsidRPr="004D2C0C">
        <w:rPr>
          <w:b w:val="0"/>
          <w:sz w:val="16"/>
        </w:rPr>
        <w:t xml:space="preserve"> income </w:t>
      </w:r>
      <w:r w:rsidR="00F177F5" w:rsidRPr="004D2C0C">
        <w:rPr>
          <w:b w:val="0"/>
          <w:sz w:val="16"/>
        </w:rPr>
        <w:t xml:space="preserve">over time </w:t>
      </w:r>
      <w:r w:rsidR="00794C7E" w:rsidRPr="004D2C0C">
        <w:rPr>
          <w:b w:val="0"/>
          <w:sz w:val="16"/>
        </w:rPr>
        <w:t xml:space="preserve">for </w:t>
      </w:r>
      <w:r w:rsidR="0048538E">
        <w:rPr>
          <w:b w:val="0"/>
          <w:sz w:val="16"/>
        </w:rPr>
        <w:t xml:space="preserve">prototypical </w:t>
      </w:r>
      <w:r w:rsidR="00794C7E" w:rsidRPr="0048538E">
        <w:rPr>
          <w:b w:val="0"/>
          <w:sz w:val="16"/>
        </w:rPr>
        <w:t>people</w:t>
      </w:r>
      <w:r w:rsidR="00794C7E" w:rsidRPr="004D2C0C">
        <w:rPr>
          <w:b w:val="0"/>
          <w:sz w:val="16"/>
        </w:rPr>
        <w:t xml:space="preserve"> </w:t>
      </w:r>
      <w:r w:rsidR="0048538E">
        <w:rPr>
          <w:b w:val="0"/>
          <w:sz w:val="16"/>
        </w:rPr>
        <w:t xml:space="preserve">with low incomes </w:t>
      </w:r>
      <w:r w:rsidR="00064063">
        <w:rPr>
          <w:sz w:val="16"/>
        </w:rPr>
        <w:t>in their twenties</w:t>
      </w:r>
      <w:r w:rsidR="00DE1419" w:rsidRPr="004D2C0C">
        <w:rPr>
          <w:b w:val="0"/>
          <w:sz w:val="16"/>
        </w:rPr>
        <w:t xml:space="preserve"> </w:t>
      </w:r>
      <w:r w:rsidR="00D9528F">
        <w:rPr>
          <w:b w:val="0"/>
          <w:sz w:val="16"/>
        </w:rPr>
        <w:t xml:space="preserve">with a student loan, </w:t>
      </w:r>
      <w:r w:rsidR="00DE1419" w:rsidRPr="004D2C0C">
        <w:rPr>
          <w:b w:val="0"/>
          <w:sz w:val="16"/>
        </w:rPr>
        <w:t xml:space="preserve">by </w:t>
      </w:r>
      <w:r w:rsidRPr="004D2C0C">
        <w:rPr>
          <w:b w:val="0"/>
          <w:sz w:val="16"/>
        </w:rPr>
        <w:t xml:space="preserve">level of qualification, </w:t>
      </w:r>
      <w:r w:rsidR="00DE1419" w:rsidRPr="004D2C0C">
        <w:rPr>
          <w:b w:val="0"/>
          <w:sz w:val="16"/>
        </w:rPr>
        <w:t xml:space="preserve">gender, beneficiary status, and whether </w:t>
      </w:r>
      <w:r w:rsidRPr="004D2C0C">
        <w:rPr>
          <w:b w:val="0"/>
          <w:sz w:val="16"/>
        </w:rPr>
        <w:t xml:space="preserve">or not </w:t>
      </w:r>
      <w:r w:rsidR="00DE1419" w:rsidRPr="004D2C0C">
        <w:rPr>
          <w:b w:val="0"/>
          <w:sz w:val="16"/>
        </w:rPr>
        <w:t>they completed a tertiary qual</w:t>
      </w:r>
      <w:r w:rsidRPr="004D2C0C">
        <w:rPr>
          <w:b w:val="0"/>
          <w:sz w:val="16"/>
        </w:rPr>
        <w:t>ification</w:t>
      </w:r>
    </w:p>
    <w:tbl>
      <w:tblPr>
        <w:tblStyle w:val="TableGrid"/>
        <w:tblW w:w="8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8"/>
        <w:gridCol w:w="4299"/>
        <w:gridCol w:w="4299"/>
        <w:gridCol w:w="6"/>
      </w:tblGrid>
      <w:tr w:rsidR="00794C7E" w:rsidTr="00377CAA">
        <w:trPr>
          <w:cantSplit/>
          <w:trHeight w:val="1134"/>
        </w:trPr>
        <w:tc>
          <w:tcPr>
            <w:tcW w:w="388" w:type="dxa"/>
            <w:textDirection w:val="btLr"/>
            <w:vAlign w:val="center"/>
          </w:tcPr>
          <w:p w:rsidR="00861B2B" w:rsidRPr="0045309E" w:rsidRDefault="00794C7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1 to 3</w:t>
            </w:r>
          </w:p>
        </w:tc>
        <w:tc>
          <w:tcPr>
            <w:tcW w:w="4299" w:type="dxa"/>
          </w:tcPr>
          <w:p w:rsidR="00861B2B" w:rsidRDefault="00445C5D" w:rsidP="00861B2B">
            <w:pPr>
              <w:pStyle w:val="BodyText"/>
              <w:keepNext/>
            </w:pPr>
            <w:r>
              <w:rPr>
                <w:noProof/>
                <w:lang w:eastAsia="en-NZ"/>
              </w:rPr>
              <w:drawing>
                <wp:inline distT="0" distB="0" distL="0" distR="0">
                  <wp:extent cx="2450800" cy="1936000"/>
                  <wp:effectExtent l="19050" t="0" r="665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c>
          <w:tcPr>
            <w:tcW w:w="4305" w:type="dxa"/>
            <w:gridSpan w:val="2"/>
          </w:tcPr>
          <w:p w:rsidR="00861B2B" w:rsidRPr="00861B2B" w:rsidRDefault="0048538E" w:rsidP="00861B2B">
            <w:pPr>
              <w:pStyle w:val="BodyText"/>
              <w:keepNext/>
            </w:pPr>
            <w:r>
              <w:rPr>
                <w:noProof/>
                <w:lang w:eastAsia="en-NZ"/>
              </w:rPr>
              <w:drawing>
                <wp:inline distT="0" distB="0" distL="0" distR="0">
                  <wp:extent cx="2450800" cy="1940400"/>
                  <wp:effectExtent l="19050" t="0" r="665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450800" cy="1940400"/>
                          </a:xfrm>
                          <a:prstGeom prst="rect">
                            <a:avLst/>
                          </a:prstGeom>
                          <a:noFill/>
                          <a:ln w="9525">
                            <a:noFill/>
                            <a:miter lim="800000"/>
                            <a:headEnd/>
                            <a:tailEnd/>
                          </a:ln>
                        </pic:spPr>
                      </pic:pic>
                    </a:graphicData>
                  </a:graphic>
                </wp:inline>
              </w:drawing>
            </w:r>
          </w:p>
        </w:tc>
      </w:tr>
      <w:tr w:rsidR="00794C7E" w:rsidTr="00377CAA">
        <w:trPr>
          <w:gridAfter w:val="1"/>
          <w:wAfter w:w="6" w:type="dxa"/>
          <w:cantSplit/>
          <w:trHeight w:val="1134"/>
        </w:trPr>
        <w:tc>
          <w:tcPr>
            <w:tcW w:w="388" w:type="dxa"/>
            <w:textDirection w:val="btLr"/>
            <w:vAlign w:val="center"/>
          </w:tcPr>
          <w:p w:rsidR="00861B2B" w:rsidRPr="0045309E" w:rsidRDefault="00794C7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4</w:t>
            </w:r>
          </w:p>
        </w:tc>
        <w:tc>
          <w:tcPr>
            <w:tcW w:w="4299" w:type="dxa"/>
          </w:tcPr>
          <w:p w:rsidR="00861B2B" w:rsidRDefault="00445C5D" w:rsidP="00861B2B">
            <w:pPr>
              <w:pStyle w:val="BodyText"/>
              <w:keepNext/>
            </w:pPr>
            <w:r>
              <w:rPr>
                <w:noProof/>
                <w:lang w:eastAsia="en-NZ"/>
              </w:rPr>
              <w:drawing>
                <wp:inline distT="0" distB="0" distL="0" distR="0">
                  <wp:extent cx="2455200" cy="1936000"/>
                  <wp:effectExtent l="19050" t="0" r="22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55200" cy="1936000"/>
                          </a:xfrm>
                          <a:prstGeom prst="rect">
                            <a:avLst/>
                          </a:prstGeom>
                          <a:noFill/>
                          <a:ln w="9525">
                            <a:noFill/>
                            <a:miter lim="800000"/>
                            <a:headEnd/>
                            <a:tailEnd/>
                          </a:ln>
                        </pic:spPr>
                      </pic:pic>
                    </a:graphicData>
                  </a:graphic>
                </wp:inline>
              </w:drawing>
            </w:r>
          </w:p>
        </w:tc>
        <w:tc>
          <w:tcPr>
            <w:tcW w:w="4299" w:type="dxa"/>
          </w:tcPr>
          <w:p w:rsidR="00861B2B" w:rsidRDefault="0048538E" w:rsidP="00861B2B">
            <w:pPr>
              <w:pStyle w:val="BodyText"/>
              <w:keepNext/>
            </w:pPr>
            <w:r>
              <w:rPr>
                <w:noProof/>
                <w:lang w:eastAsia="en-NZ"/>
              </w:rPr>
              <w:drawing>
                <wp:inline distT="0" distB="0" distL="0" distR="0">
                  <wp:extent cx="2450800" cy="1936000"/>
                  <wp:effectExtent l="19050" t="0" r="665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794C7E" w:rsidTr="00CE0623">
        <w:trPr>
          <w:gridAfter w:val="1"/>
          <w:wAfter w:w="6" w:type="dxa"/>
          <w:cantSplit/>
          <w:trHeight w:val="1134"/>
        </w:trPr>
        <w:tc>
          <w:tcPr>
            <w:tcW w:w="388" w:type="dxa"/>
            <w:textDirection w:val="btLr"/>
            <w:vAlign w:val="center"/>
          </w:tcPr>
          <w:p w:rsidR="00861B2B" w:rsidRPr="0045309E" w:rsidRDefault="00794C7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Diplomas at levels 4 to 7</w:t>
            </w:r>
          </w:p>
        </w:tc>
        <w:tc>
          <w:tcPr>
            <w:tcW w:w="4299" w:type="dxa"/>
          </w:tcPr>
          <w:p w:rsidR="00861B2B" w:rsidRDefault="00445C5D" w:rsidP="00861B2B">
            <w:pPr>
              <w:pStyle w:val="BodyText"/>
              <w:keepNext/>
            </w:pPr>
            <w:r>
              <w:rPr>
                <w:noProof/>
                <w:lang w:eastAsia="en-NZ"/>
              </w:rPr>
              <w:drawing>
                <wp:inline distT="0" distB="0" distL="0" distR="0">
                  <wp:extent cx="2455200" cy="1940400"/>
                  <wp:effectExtent l="19050" t="0" r="22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455200" cy="1940400"/>
                          </a:xfrm>
                          <a:prstGeom prst="rect">
                            <a:avLst/>
                          </a:prstGeom>
                          <a:noFill/>
                          <a:ln w="9525">
                            <a:noFill/>
                            <a:miter lim="800000"/>
                            <a:headEnd/>
                            <a:tailEnd/>
                          </a:ln>
                        </pic:spPr>
                      </pic:pic>
                    </a:graphicData>
                  </a:graphic>
                </wp:inline>
              </w:drawing>
            </w:r>
          </w:p>
        </w:tc>
        <w:tc>
          <w:tcPr>
            <w:tcW w:w="4299" w:type="dxa"/>
          </w:tcPr>
          <w:p w:rsidR="00861B2B" w:rsidRDefault="0048538E" w:rsidP="00861B2B">
            <w:pPr>
              <w:pStyle w:val="BodyText"/>
              <w:keepNext/>
            </w:pPr>
            <w:r>
              <w:rPr>
                <w:noProof/>
                <w:lang w:eastAsia="en-NZ"/>
              </w:rPr>
              <w:drawing>
                <wp:inline distT="0" distB="0" distL="0" distR="0">
                  <wp:extent cx="2450800" cy="1936000"/>
                  <wp:effectExtent l="19050" t="0" r="66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794C7E" w:rsidTr="00377CAA">
        <w:trPr>
          <w:gridAfter w:val="1"/>
          <w:wAfter w:w="6" w:type="dxa"/>
          <w:cantSplit/>
          <w:trHeight w:val="1134"/>
        </w:trPr>
        <w:tc>
          <w:tcPr>
            <w:tcW w:w="388" w:type="dxa"/>
            <w:textDirection w:val="btLr"/>
            <w:vAlign w:val="center"/>
          </w:tcPr>
          <w:p w:rsidR="00861B2B" w:rsidRPr="0045309E" w:rsidRDefault="00794C7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Bachelors at level 7</w:t>
            </w:r>
          </w:p>
        </w:tc>
        <w:tc>
          <w:tcPr>
            <w:tcW w:w="4299" w:type="dxa"/>
          </w:tcPr>
          <w:p w:rsidR="00861B2B" w:rsidRDefault="00445C5D" w:rsidP="00861B2B">
            <w:pPr>
              <w:pStyle w:val="BodyText"/>
              <w:keepNext/>
            </w:pPr>
            <w:r>
              <w:rPr>
                <w:noProof/>
                <w:lang w:eastAsia="en-NZ"/>
              </w:rPr>
              <w:drawing>
                <wp:inline distT="0" distB="0" distL="0" distR="0">
                  <wp:extent cx="2455200" cy="1936000"/>
                  <wp:effectExtent l="19050" t="0" r="22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455200" cy="1936000"/>
                          </a:xfrm>
                          <a:prstGeom prst="rect">
                            <a:avLst/>
                          </a:prstGeom>
                          <a:noFill/>
                          <a:ln w="9525">
                            <a:noFill/>
                            <a:miter lim="800000"/>
                            <a:headEnd/>
                            <a:tailEnd/>
                          </a:ln>
                        </pic:spPr>
                      </pic:pic>
                    </a:graphicData>
                  </a:graphic>
                </wp:inline>
              </w:drawing>
            </w:r>
          </w:p>
        </w:tc>
        <w:tc>
          <w:tcPr>
            <w:tcW w:w="4299" w:type="dxa"/>
          </w:tcPr>
          <w:p w:rsidR="00861B2B" w:rsidRDefault="0048538E" w:rsidP="00861B2B">
            <w:pPr>
              <w:pStyle w:val="BodyText"/>
              <w:keepNext/>
            </w:pPr>
            <w:r>
              <w:rPr>
                <w:noProof/>
                <w:lang w:eastAsia="en-NZ"/>
              </w:rPr>
              <w:drawing>
                <wp:inline distT="0" distB="0" distL="0" distR="0">
                  <wp:extent cx="2450800" cy="1936000"/>
                  <wp:effectExtent l="19050" t="0" r="665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bl>
    <w:p w:rsidR="009E02C1" w:rsidRDefault="009E02C1" w:rsidP="009E02C1">
      <w:pPr>
        <w:spacing w:before="120" w:after="240"/>
        <w:rPr>
          <w:rFonts w:ascii="Arial" w:hAnsi="Arial" w:cs="Arial"/>
        </w:rPr>
      </w:pPr>
      <w:r w:rsidRPr="004D2C0C">
        <w:rPr>
          <w:rFonts w:ascii="Arial" w:hAnsi="Arial" w:cs="Arial"/>
          <w:sz w:val="16"/>
          <w:szCs w:val="16"/>
        </w:rPr>
        <w:t xml:space="preserve">Source: Statistics New Zealand, Integrated Data Infrastructure, Ministry of Education interpretation. </w:t>
      </w:r>
      <w:r>
        <w:br w:type="page"/>
      </w:r>
    </w:p>
    <w:p w:rsidR="00DE1419" w:rsidRPr="00180B9C" w:rsidRDefault="006311D6" w:rsidP="006311D6">
      <w:pPr>
        <w:pStyle w:val="Caption"/>
        <w:ind w:right="-427"/>
        <w:rPr>
          <w:b w:val="0"/>
          <w:sz w:val="18"/>
          <w:szCs w:val="18"/>
        </w:rPr>
      </w:pPr>
      <w:proofErr w:type="gramStart"/>
      <w:r w:rsidRPr="004D2C0C">
        <w:rPr>
          <w:sz w:val="16"/>
          <w:szCs w:val="16"/>
        </w:rPr>
        <w:lastRenderedPageBreak/>
        <w:t xml:space="preserve">Figure </w:t>
      </w:r>
      <w:r w:rsidR="0092253D" w:rsidRPr="004D2C0C">
        <w:rPr>
          <w:sz w:val="16"/>
          <w:szCs w:val="16"/>
        </w:rPr>
        <w:fldChar w:fldCharType="begin"/>
      </w:r>
      <w:r w:rsidR="00CC0355" w:rsidRPr="004D2C0C">
        <w:rPr>
          <w:sz w:val="16"/>
          <w:szCs w:val="16"/>
        </w:rPr>
        <w:instrText xml:space="preserve"> SEQ Figure \* ARABIC </w:instrText>
      </w:r>
      <w:r w:rsidR="0092253D" w:rsidRPr="004D2C0C">
        <w:rPr>
          <w:sz w:val="16"/>
          <w:szCs w:val="16"/>
        </w:rPr>
        <w:fldChar w:fldCharType="separate"/>
      </w:r>
      <w:r w:rsidR="00D15EF8">
        <w:rPr>
          <w:noProof/>
          <w:sz w:val="16"/>
          <w:szCs w:val="16"/>
        </w:rPr>
        <w:t>2</w:t>
      </w:r>
      <w:r w:rsidR="0092253D" w:rsidRPr="004D2C0C">
        <w:rPr>
          <w:sz w:val="16"/>
          <w:szCs w:val="16"/>
        </w:rPr>
        <w:fldChar w:fldCharType="end"/>
      </w:r>
      <w:r w:rsidRPr="004D2C0C">
        <w:rPr>
          <w:sz w:val="16"/>
          <w:szCs w:val="16"/>
        </w:rPr>
        <w:t>.</w:t>
      </w:r>
      <w:proofErr w:type="gramEnd"/>
      <w:r w:rsidR="00DE1419" w:rsidRPr="004D2C0C">
        <w:rPr>
          <w:sz w:val="16"/>
          <w:szCs w:val="16"/>
        </w:rPr>
        <w:t xml:space="preserve"> </w:t>
      </w:r>
      <w:r w:rsidR="00D9528F">
        <w:rPr>
          <w:b w:val="0"/>
          <w:sz w:val="16"/>
        </w:rPr>
        <w:t>Expected average</w:t>
      </w:r>
      <w:r w:rsidR="00D9528F" w:rsidRPr="004D2C0C">
        <w:rPr>
          <w:b w:val="0"/>
          <w:sz w:val="16"/>
        </w:rPr>
        <w:t xml:space="preserve"> </w:t>
      </w:r>
      <w:r w:rsidR="00DE1419" w:rsidRPr="004D2C0C">
        <w:rPr>
          <w:b w:val="0"/>
          <w:sz w:val="16"/>
        </w:rPr>
        <w:t>income</w:t>
      </w:r>
      <w:r w:rsidR="00F177F5" w:rsidRPr="004D2C0C">
        <w:rPr>
          <w:b w:val="0"/>
          <w:sz w:val="16"/>
        </w:rPr>
        <w:t xml:space="preserve"> over time</w:t>
      </w:r>
      <w:r w:rsidR="00DE1419" w:rsidRPr="004D2C0C">
        <w:rPr>
          <w:b w:val="0"/>
          <w:sz w:val="16"/>
        </w:rPr>
        <w:t xml:space="preserve"> for </w:t>
      </w:r>
      <w:r w:rsidR="0048538E" w:rsidRPr="0048538E">
        <w:rPr>
          <w:b w:val="0"/>
          <w:sz w:val="16"/>
        </w:rPr>
        <w:t>prototypical people with low incomes</w:t>
      </w:r>
      <w:r w:rsidR="00064063" w:rsidRPr="00064063">
        <w:rPr>
          <w:sz w:val="16"/>
        </w:rPr>
        <w:t xml:space="preserve"> in their thirties</w:t>
      </w:r>
      <w:r w:rsidR="00DE1419" w:rsidRPr="004D2C0C">
        <w:rPr>
          <w:b w:val="0"/>
          <w:sz w:val="16"/>
        </w:rPr>
        <w:t xml:space="preserve"> </w:t>
      </w:r>
      <w:r w:rsidR="00D9528F">
        <w:rPr>
          <w:b w:val="0"/>
          <w:sz w:val="16"/>
        </w:rPr>
        <w:t xml:space="preserve">with a student loan, </w:t>
      </w:r>
      <w:r w:rsidRPr="004D2C0C">
        <w:rPr>
          <w:b w:val="0"/>
          <w:sz w:val="16"/>
        </w:rPr>
        <w:t>by level of qualification, gender, beneficiary status, and whether or not they completed a tertiary qualification</w:t>
      </w:r>
    </w:p>
    <w:tbl>
      <w:tblPr>
        <w:tblStyle w:val="TableGrid"/>
        <w:tblW w:w="8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8"/>
        <w:gridCol w:w="4299"/>
        <w:gridCol w:w="4299"/>
        <w:gridCol w:w="6"/>
      </w:tblGrid>
      <w:tr w:rsidR="0045309E" w:rsidTr="00377CAA">
        <w:trPr>
          <w:cantSplit/>
          <w:trHeight w:val="1134"/>
        </w:trPr>
        <w:tc>
          <w:tcPr>
            <w:tcW w:w="388" w:type="dxa"/>
            <w:textDirection w:val="btLr"/>
            <w:vAlign w:val="center"/>
          </w:tcPr>
          <w:p w:rsidR="0045309E" w:rsidRPr="0045309E" w:rsidRDefault="0045309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1 to 3</w:t>
            </w:r>
          </w:p>
        </w:tc>
        <w:tc>
          <w:tcPr>
            <w:tcW w:w="4299" w:type="dxa"/>
          </w:tcPr>
          <w:p w:rsidR="0045309E" w:rsidRDefault="0048538E" w:rsidP="00251F5D">
            <w:pPr>
              <w:pStyle w:val="BodyText"/>
              <w:keepNext/>
            </w:pPr>
            <w:r>
              <w:rPr>
                <w:noProof/>
                <w:lang w:eastAsia="en-NZ"/>
              </w:rPr>
              <w:drawing>
                <wp:inline distT="0" distB="0" distL="0" distR="0">
                  <wp:extent cx="2433200" cy="1940400"/>
                  <wp:effectExtent l="19050" t="0" r="520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305" w:type="dxa"/>
            <w:gridSpan w:val="2"/>
          </w:tcPr>
          <w:p w:rsidR="0045309E" w:rsidRPr="00861B2B" w:rsidRDefault="0048538E" w:rsidP="00251F5D">
            <w:pPr>
              <w:pStyle w:val="BodyText"/>
              <w:keepNext/>
            </w:pPr>
            <w:r>
              <w:rPr>
                <w:noProof/>
                <w:lang w:eastAsia="en-NZ"/>
              </w:rPr>
              <w:drawing>
                <wp:inline distT="0" distB="0" distL="0" distR="0">
                  <wp:extent cx="2450800" cy="1936000"/>
                  <wp:effectExtent l="19050" t="0" r="665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45309E" w:rsidTr="00377CAA">
        <w:trPr>
          <w:gridAfter w:val="1"/>
          <w:wAfter w:w="6" w:type="dxa"/>
          <w:cantSplit/>
          <w:trHeight w:val="1134"/>
        </w:trPr>
        <w:tc>
          <w:tcPr>
            <w:tcW w:w="388" w:type="dxa"/>
            <w:textDirection w:val="btLr"/>
            <w:vAlign w:val="center"/>
          </w:tcPr>
          <w:p w:rsidR="0045309E" w:rsidRPr="0045309E" w:rsidRDefault="0045309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4</w:t>
            </w:r>
          </w:p>
        </w:tc>
        <w:tc>
          <w:tcPr>
            <w:tcW w:w="4299" w:type="dxa"/>
          </w:tcPr>
          <w:p w:rsidR="0045309E" w:rsidRDefault="0048538E" w:rsidP="00251F5D">
            <w:pPr>
              <w:pStyle w:val="BodyText"/>
              <w:keepNext/>
            </w:pPr>
            <w:r>
              <w:rPr>
                <w:noProof/>
                <w:lang w:eastAsia="en-NZ"/>
              </w:rPr>
              <w:drawing>
                <wp:inline distT="0" distB="0" distL="0" distR="0">
                  <wp:extent cx="2433200" cy="1940400"/>
                  <wp:effectExtent l="19050" t="0" r="520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45309E" w:rsidRDefault="0048538E" w:rsidP="00251F5D">
            <w:pPr>
              <w:pStyle w:val="BodyText"/>
              <w:keepNext/>
            </w:pPr>
            <w:r>
              <w:rPr>
                <w:noProof/>
                <w:lang w:eastAsia="en-NZ"/>
              </w:rPr>
              <w:drawing>
                <wp:inline distT="0" distB="0" distL="0" distR="0">
                  <wp:extent cx="2450800" cy="1936000"/>
                  <wp:effectExtent l="19050" t="0" r="665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45309E" w:rsidTr="00377CAA">
        <w:trPr>
          <w:gridAfter w:val="1"/>
          <w:wAfter w:w="6" w:type="dxa"/>
          <w:cantSplit/>
          <w:trHeight w:val="1134"/>
        </w:trPr>
        <w:tc>
          <w:tcPr>
            <w:tcW w:w="388" w:type="dxa"/>
            <w:textDirection w:val="btLr"/>
            <w:vAlign w:val="center"/>
          </w:tcPr>
          <w:p w:rsidR="0045309E" w:rsidRPr="0045309E" w:rsidRDefault="0045309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Diplomas at levels 4 to 7</w:t>
            </w:r>
          </w:p>
        </w:tc>
        <w:tc>
          <w:tcPr>
            <w:tcW w:w="4299" w:type="dxa"/>
          </w:tcPr>
          <w:p w:rsidR="0045309E" w:rsidRDefault="0048538E" w:rsidP="00251F5D">
            <w:pPr>
              <w:pStyle w:val="BodyText"/>
              <w:keepNext/>
            </w:pPr>
            <w:r>
              <w:rPr>
                <w:noProof/>
                <w:lang w:eastAsia="en-NZ"/>
              </w:rPr>
              <w:drawing>
                <wp:inline distT="0" distB="0" distL="0" distR="0">
                  <wp:extent cx="2433200" cy="1940400"/>
                  <wp:effectExtent l="19050" t="0" r="520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45309E" w:rsidRDefault="0048538E" w:rsidP="00251F5D">
            <w:pPr>
              <w:pStyle w:val="BodyText"/>
              <w:keepNext/>
            </w:pPr>
            <w:r>
              <w:rPr>
                <w:noProof/>
                <w:lang w:eastAsia="en-NZ"/>
              </w:rPr>
              <w:drawing>
                <wp:inline distT="0" distB="0" distL="0" distR="0">
                  <wp:extent cx="2450800" cy="1936000"/>
                  <wp:effectExtent l="19050" t="0" r="6650" b="0"/>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45309E" w:rsidTr="00377CAA">
        <w:trPr>
          <w:gridAfter w:val="1"/>
          <w:wAfter w:w="6" w:type="dxa"/>
          <w:cantSplit/>
          <w:trHeight w:val="1134"/>
        </w:trPr>
        <w:tc>
          <w:tcPr>
            <w:tcW w:w="388" w:type="dxa"/>
            <w:textDirection w:val="btLr"/>
            <w:vAlign w:val="center"/>
          </w:tcPr>
          <w:p w:rsidR="0045309E" w:rsidRPr="0045309E" w:rsidRDefault="0045309E"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Bachelors at level 7</w:t>
            </w:r>
          </w:p>
        </w:tc>
        <w:tc>
          <w:tcPr>
            <w:tcW w:w="4299" w:type="dxa"/>
          </w:tcPr>
          <w:p w:rsidR="0045309E" w:rsidRDefault="00E55A03" w:rsidP="00251F5D">
            <w:pPr>
              <w:pStyle w:val="BodyText"/>
              <w:keepNext/>
            </w:pPr>
            <w:r>
              <w:rPr>
                <w:noProof/>
                <w:lang w:eastAsia="en-NZ"/>
              </w:rPr>
              <w:drawing>
                <wp:inline distT="0" distB="0" distL="0" distR="0">
                  <wp:extent cx="2455200" cy="1940400"/>
                  <wp:effectExtent l="19050" t="0" r="225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2455200" cy="1940400"/>
                          </a:xfrm>
                          <a:prstGeom prst="rect">
                            <a:avLst/>
                          </a:prstGeom>
                          <a:noFill/>
                          <a:ln w="9525">
                            <a:noFill/>
                            <a:miter lim="800000"/>
                            <a:headEnd/>
                            <a:tailEnd/>
                          </a:ln>
                        </pic:spPr>
                      </pic:pic>
                    </a:graphicData>
                  </a:graphic>
                </wp:inline>
              </w:drawing>
            </w:r>
          </w:p>
        </w:tc>
        <w:tc>
          <w:tcPr>
            <w:tcW w:w="4299" w:type="dxa"/>
          </w:tcPr>
          <w:p w:rsidR="0045309E" w:rsidRDefault="0048538E" w:rsidP="00251F5D">
            <w:pPr>
              <w:pStyle w:val="BodyText"/>
              <w:keepNext/>
            </w:pPr>
            <w:r>
              <w:rPr>
                <w:noProof/>
                <w:lang w:eastAsia="en-NZ"/>
              </w:rPr>
              <w:drawing>
                <wp:inline distT="0" distB="0" distL="0" distR="0">
                  <wp:extent cx="2450800" cy="1936000"/>
                  <wp:effectExtent l="19050" t="0" r="6650"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bl>
    <w:p w:rsidR="00340432" w:rsidRPr="00340432" w:rsidRDefault="00340432" w:rsidP="006311D6">
      <w:pPr>
        <w:pStyle w:val="Caption"/>
        <w:ind w:right="-285"/>
        <w:rPr>
          <w:b w:val="0"/>
          <w:sz w:val="16"/>
          <w:szCs w:val="16"/>
        </w:rPr>
      </w:pPr>
      <w:r w:rsidRPr="00340432">
        <w:rPr>
          <w:b w:val="0"/>
          <w:sz w:val="16"/>
          <w:szCs w:val="16"/>
        </w:rPr>
        <w:t xml:space="preserve">Source: Statistics New Zealand, Integrated Data Infrastructure, Ministry of Education interpretation. </w:t>
      </w:r>
    </w:p>
    <w:p w:rsidR="00DE1419" w:rsidRPr="004D2C0C" w:rsidRDefault="006311D6" w:rsidP="006311D6">
      <w:pPr>
        <w:pStyle w:val="Caption"/>
        <w:ind w:right="-285"/>
        <w:rPr>
          <w:sz w:val="16"/>
        </w:rPr>
      </w:pPr>
      <w:proofErr w:type="gramStart"/>
      <w:r w:rsidRPr="004D2C0C">
        <w:rPr>
          <w:sz w:val="16"/>
        </w:rPr>
        <w:lastRenderedPageBreak/>
        <w:t xml:space="preserve">Figure </w:t>
      </w:r>
      <w:r w:rsidR="0092253D" w:rsidRPr="004D2C0C">
        <w:rPr>
          <w:sz w:val="16"/>
        </w:rPr>
        <w:fldChar w:fldCharType="begin"/>
      </w:r>
      <w:r w:rsidR="00CC0355" w:rsidRPr="004D2C0C">
        <w:rPr>
          <w:sz w:val="16"/>
        </w:rPr>
        <w:instrText xml:space="preserve"> SEQ Figure \* ARABIC </w:instrText>
      </w:r>
      <w:r w:rsidR="0092253D" w:rsidRPr="004D2C0C">
        <w:rPr>
          <w:sz w:val="16"/>
        </w:rPr>
        <w:fldChar w:fldCharType="separate"/>
      </w:r>
      <w:r w:rsidR="00D15EF8">
        <w:rPr>
          <w:noProof/>
          <w:sz w:val="16"/>
        </w:rPr>
        <w:t>3</w:t>
      </w:r>
      <w:r w:rsidR="0092253D" w:rsidRPr="004D2C0C">
        <w:rPr>
          <w:sz w:val="16"/>
        </w:rPr>
        <w:fldChar w:fldCharType="end"/>
      </w:r>
      <w:r w:rsidRPr="004D2C0C">
        <w:rPr>
          <w:sz w:val="16"/>
        </w:rPr>
        <w:t>.</w:t>
      </w:r>
      <w:proofErr w:type="gramEnd"/>
      <w:r w:rsidR="00DE1419" w:rsidRPr="004D2C0C">
        <w:rPr>
          <w:sz w:val="16"/>
        </w:rPr>
        <w:t xml:space="preserve"> </w:t>
      </w:r>
      <w:r w:rsidR="00D9528F">
        <w:rPr>
          <w:b w:val="0"/>
          <w:sz w:val="16"/>
        </w:rPr>
        <w:t>Expected average</w:t>
      </w:r>
      <w:r w:rsidR="00D9528F" w:rsidRPr="004D2C0C">
        <w:rPr>
          <w:b w:val="0"/>
          <w:sz w:val="16"/>
        </w:rPr>
        <w:t xml:space="preserve"> </w:t>
      </w:r>
      <w:r w:rsidR="00DE1419" w:rsidRPr="004D2C0C">
        <w:rPr>
          <w:b w:val="0"/>
          <w:sz w:val="16"/>
        </w:rPr>
        <w:t>income</w:t>
      </w:r>
      <w:r w:rsidR="00F177F5" w:rsidRPr="004D2C0C">
        <w:rPr>
          <w:b w:val="0"/>
          <w:sz w:val="16"/>
        </w:rPr>
        <w:t xml:space="preserve"> over time</w:t>
      </w:r>
      <w:r w:rsidR="00DE1419" w:rsidRPr="004D2C0C">
        <w:rPr>
          <w:b w:val="0"/>
          <w:sz w:val="16"/>
        </w:rPr>
        <w:t xml:space="preserve"> for </w:t>
      </w:r>
      <w:r w:rsidR="0048538E">
        <w:rPr>
          <w:b w:val="0"/>
          <w:sz w:val="16"/>
        </w:rPr>
        <w:t xml:space="preserve">prototypical people with low incomes </w:t>
      </w:r>
      <w:r w:rsidR="00064063">
        <w:rPr>
          <w:sz w:val="16"/>
        </w:rPr>
        <w:t>in their forties</w:t>
      </w:r>
      <w:r w:rsidR="00DE1419" w:rsidRPr="004D2C0C">
        <w:rPr>
          <w:b w:val="0"/>
          <w:sz w:val="16"/>
        </w:rPr>
        <w:t xml:space="preserve"> </w:t>
      </w:r>
      <w:r w:rsidR="00D9528F">
        <w:rPr>
          <w:b w:val="0"/>
          <w:sz w:val="16"/>
        </w:rPr>
        <w:t>with a student loan,</w:t>
      </w:r>
      <w:r w:rsidRPr="004D2C0C">
        <w:rPr>
          <w:b w:val="0"/>
          <w:sz w:val="16"/>
        </w:rPr>
        <w:t xml:space="preserve"> by level of qualification, gender, beneficiary status, and whether or not they completed a tertiary qualification</w:t>
      </w:r>
    </w:p>
    <w:tbl>
      <w:tblPr>
        <w:tblStyle w:val="TableGrid"/>
        <w:tblW w:w="8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8"/>
        <w:gridCol w:w="4299"/>
        <w:gridCol w:w="4299"/>
      </w:tblGrid>
      <w:tr w:rsidR="00A86E2C" w:rsidTr="00CA4033">
        <w:trPr>
          <w:cantSplit/>
          <w:trHeight w:val="1134"/>
        </w:trPr>
        <w:tc>
          <w:tcPr>
            <w:tcW w:w="388" w:type="dxa"/>
            <w:textDirection w:val="btLr"/>
            <w:vAlign w:val="center"/>
          </w:tcPr>
          <w:p w:rsidR="00A86E2C" w:rsidRPr="0045309E" w:rsidRDefault="00A86E2C"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1 to 3</w:t>
            </w:r>
          </w:p>
        </w:tc>
        <w:tc>
          <w:tcPr>
            <w:tcW w:w="4299" w:type="dxa"/>
          </w:tcPr>
          <w:p w:rsidR="00A86E2C" w:rsidRDefault="0048538E" w:rsidP="00251F5D">
            <w:pPr>
              <w:pStyle w:val="BodyText"/>
              <w:keepNext/>
            </w:pPr>
            <w:r>
              <w:rPr>
                <w:noProof/>
                <w:lang w:eastAsia="en-NZ"/>
              </w:rPr>
              <w:drawing>
                <wp:inline distT="0" distB="0" distL="0" distR="0">
                  <wp:extent cx="2433200" cy="1940400"/>
                  <wp:effectExtent l="19050" t="0" r="5200" b="0"/>
                  <wp:docPr id="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A86E2C" w:rsidRPr="00861B2B" w:rsidRDefault="0048538E" w:rsidP="00251F5D">
            <w:pPr>
              <w:pStyle w:val="BodyText"/>
              <w:keepNext/>
            </w:pPr>
            <w:r>
              <w:rPr>
                <w:noProof/>
                <w:lang w:eastAsia="en-NZ"/>
              </w:rPr>
              <w:drawing>
                <wp:inline distT="0" distB="0" distL="0" distR="0">
                  <wp:extent cx="2450800" cy="1936000"/>
                  <wp:effectExtent l="19050" t="0" r="6650" b="0"/>
                  <wp:docPr id="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A86E2C" w:rsidTr="00CA4033">
        <w:trPr>
          <w:cantSplit/>
          <w:trHeight w:val="1134"/>
        </w:trPr>
        <w:tc>
          <w:tcPr>
            <w:tcW w:w="388" w:type="dxa"/>
            <w:textDirection w:val="btLr"/>
            <w:vAlign w:val="center"/>
          </w:tcPr>
          <w:p w:rsidR="00A86E2C" w:rsidRPr="0045309E" w:rsidRDefault="00A86E2C"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Certificates at level 4</w:t>
            </w:r>
          </w:p>
        </w:tc>
        <w:tc>
          <w:tcPr>
            <w:tcW w:w="4299" w:type="dxa"/>
          </w:tcPr>
          <w:p w:rsidR="00A86E2C" w:rsidRDefault="0048538E" w:rsidP="00251F5D">
            <w:pPr>
              <w:pStyle w:val="BodyText"/>
              <w:keepNext/>
            </w:pPr>
            <w:r>
              <w:rPr>
                <w:noProof/>
                <w:lang w:eastAsia="en-NZ"/>
              </w:rPr>
              <w:drawing>
                <wp:inline distT="0" distB="0" distL="0" distR="0">
                  <wp:extent cx="2433200" cy="1940400"/>
                  <wp:effectExtent l="19050" t="0" r="5200" b="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A86E2C" w:rsidRDefault="0048538E" w:rsidP="00251F5D">
            <w:pPr>
              <w:pStyle w:val="BodyText"/>
              <w:keepNext/>
            </w:pPr>
            <w:r>
              <w:rPr>
                <w:noProof/>
                <w:lang w:eastAsia="en-NZ"/>
              </w:rPr>
              <w:drawing>
                <wp:inline distT="0" distB="0" distL="0" distR="0">
                  <wp:extent cx="2450800" cy="1936000"/>
                  <wp:effectExtent l="19050" t="0" r="6650" b="0"/>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A86E2C" w:rsidTr="00CA4033">
        <w:trPr>
          <w:cantSplit/>
          <w:trHeight w:val="1134"/>
        </w:trPr>
        <w:tc>
          <w:tcPr>
            <w:tcW w:w="388" w:type="dxa"/>
            <w:textDirection w:val="btLr"/>
            <w:vAlign w:val="center"/>
          </w:tcPr>
          <w:p w:rsidR="00A86E2C" w:rsidRPr="0045309E" w:rsidRDefault="00A86E2C"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Diplomas at levels 4 to 7</w:t>
            </w:r>
          </w:p>
        </w:tc>
        <w:tc>
          <w:tcPr>
            <w:tcW w:w="4299" w:type="dxa"/>
          </w:tcPr>
          <w:p w:rsidR="00A86E2C" w:rsidRDefault="0048538E" w:rsidP="00251F5D">
            <w:pPr>
              <w:pStyle w:val="BodyText"/>
              <w:keepNext/>
            </w:pPr>
            <w:r>
              <w:rPr>
                <w:noProof/>
                <w:lang w:eastAsia="en-NZ"/>
              </w:rPr>
              <w:drawing>
                <wp:inline distT="0" distB="0" distL="0" distR="0">
                  <wp:extent cx="2433200" cy="1940400"/>
                  <wp:effectExtent l="19050" t="0" r="5200"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A86E2C" w:rsidRDefault="0048538E" w:rsidP="00251F5D">
            <w:pPr>
              <w:pStyle w:val="BodyText"/>
              <w:keepNext/>
            </w:pPr>
            <w:r>
              <w:rPr>
                <w:noProof/>
                <w:lang w:eastAsia="en-NZ"/>
              </w:rPr>
              <w:drawing>
                <wp:inline distT="0" distB="0" distL="0" distR="0">
                  <wp:extent cx="2450800" cy="1936000"/>
                  <wp:effectExtent l="19050" t="0" r="6650"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r w:rsidR="00A86E2C" w:rsidTr="00CA4033">
        <w:trPr>
          <w:cantSplit/>
          <w:trHeight w:val="1134"/>
        </w:trPr>
        <w:tc>
          <w:tcPr>
            <w:tcW w:w="388" w:type="dxa"/>
            <w:textDirection w:val="btLr"/>
            <w:vAlign w:val="center"/>
          </w:tcPr>
          <w:p w:rsidR="00A86E2C" w:rsidRPr="0045309E" w:rsidRDefault="00A86E2C" w:rsidP="00377CAA">
            <w:pPr>
              <w:pStyle w:val="BodyText"/>
              <w:keepNext/>
              <w:spacing w:after="0" w:line="240" w:lineRule="auto"/>
              <w:ind w:left="113" w:right="113"/>
              <w:jc w:val="right"/>
              <w:rPr>
                <w:rFonts w:ascii="Arial" w:hAnsi="Arial" w:cs="Arial"/>
                <w:sz w:val="18"/>
                <w:szCs w:val="18"/>
              </w:rPr>
            </w:pPr>
            <w:r w:rsidRPr="0045309E">
              <w:rPr>
                <w:rFonts w:ascii="Arial" w:hAnsi="Arial" w:cs="Arial"/>
                <w:sz w:val="18"/>
                <w:szCs w:val="18"/>
              </w:rPr>
              <w:t>Bachelors at level 7</w:t>
            </w:r>
          </w:p>
        </w:tc>
        <w:tc>
          <w:tcPr>
            <w:tcW w:w="4299" w:type="dxa"/>
          </w:tcPr>
          <w:p w:rsidR="00A86E2C" w:rsidRDefault="0048538E" w:rsidP="00251F5D">
            <w:pPr>
              <w:pStyle w:val="BodyText"/>
              <w:keepNext/>
            </w:pPr>
            <w:r>
              <w:rPr>
                <w:noProof/>
                <w:lang w:eastAsia="en-NZ"/>
              </w:rPr>
              <w:drawing>
                <wp:inline distT="0" distB="0" distL="0" distR="0">
                  <wp:extent cx="2433200" cy="1940400"/>
                  <wp:effectExtent l="19050" t="0" r="5200"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2433200" cy="1940400"/>
                          </a:xfrm>
                          <a:prstGeom prst="rect">
                            <a:avLst/>
                          </a:prstGeom>
                          <a:noFill/>
                          <a:ln w="9525">
                            <a:noFill/>
                            <a:miter lim="800000"/>
                            <a:headEnd/>
                            <a:tailEnd/>
                          </a:ln>
                        </pic:spPr>
                      </pic:pic>
                    </a:graphicData>
                  </a:graphic>
                </wp:inline>
              </w:drawing>
            </w:r>
          </w:p>
        </w:tc>
        <w:tc>
          <w:tcPr>
            <w:tcW w:w="4299" w:type="dxa"/>
          </w:tcPr>
          <w:p w:rsidR="00A86E2C" w:rsidRDefault="0048538E" w:rsidP="00251F5D">
            <w:pPr>
              <w:pStyle w:val="BodyText"/>
              <w:keepNext/>
            </w:pPr>
            <w:r>
              <w:rPr>
                <w:noProof/>
                <w:lang w:eastAsia="en-NZ"/>
              </w:rPr>
              <w:drawing>
                <wp:inline distT="0" distB="0" distL="0" distR="0">
                  <wp:extent cx="2450800" cy="1936000"/>
                  <wp:effectExtent l="19050" t="0" r="6650"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2450800" cy="1936000"/>
                          </a:xfrm>
                          <a:prstGeom prst="rect">
                            <a:avLst/>
                          </a:prstGeom>
                          <a:noFill/>
                          <a:ln w="9525">
                            <a:noFill/>
                            <a:miter lim="800000"/>
                            <a:headEnd/>
                            <a:tailEnd/>
                          </a:ln>
                        </pic:spPr>
                      </pic:pic>
                    </a:graphicData>
                  </a:graphic>
                </wp:inline>
              </w:drawing>
            </w:r>
          </w:p>
        </w:tc>
      </w:tr>
    </w:tbl>
    <w:p w:rsidR="00340432" w:rsidRPr="00340432" w:rsidRDefault="00340432" w:rsidP="00340432">
      <w:pPr>
        <w:pStyle w:val="Caption"/>
        <w:ind w:right="-285"/>
        <w:rPr>
          <w:b w:val="0"/>
          <w:sz w:val="16"/>
          <w:szCs w:val="16"/>
        </w:rPr>
      </w:pPr>
      <w:r w:rsidRPr="00340432">
        <w:rPr>
          <w:b w:val="0"/>
          <w:sz w:val="16"/>
          <w:szCs w:val="16"/>
        </w:rPr>
        <w:t xml:space="preserve">Source: Statistics New Zealand, Integrated Data Infrastructure, Ministry of Education interpretation. </w:t>
      </w:r>
    </w:p>
    <w:p w:rsidR="002222FF" w:rsidRDefault="003053E3" w:rsidP="003053E3">
      <w:pPr>
        <w:pStyle w:val="BodyText"/>
      </w:pPr>
      <w:r>
        <w:lastRenderedPageBreak/>
        <w:t xml:space="preserve">One thing that needs to be kept in mind is that these income trajectories are not the average of all people in the population; they apply only to those student loan borrowers who have low pre-study incomes. For young adults, this will include people who have not yet started work, or are in part-time work. The trajectories therefore are probably typical of many young adults before they start their careers. But for the older study populations, their low </w:t>
      </w:r>
      <w:r w:rsidR="00D60B45">
        <w:t xml:space="preserve">average </w:t>
      </w:r>
      <w:r>
        <w:t xml:space="preserve">income makes them atypical of the older population </w:t>
      </w:r>
      <w:r w:rsidR="0058548B">
        <w:t>generally</w:t>
      </w:r>
      <w:r>
        <w:t xml:space="preserve">. The factors </w:t>
      </w:r>
      <w:r w:rsidR="00CF0652">
        <w:t xml:space="preserve">that might result in </w:t>
      </w:r>
      <w:r w:rsidR="00B03661">
        <w:t xml:space="preserve">an older worker having a low income </w:t>
      </w:r>
      <w:r w:rsidR="00CF0652">
        <w:t>could</w:t>
      </w:r>
      <w:r>
        <w:t xml:space="preserve"> be lower than average education or qualifications, personal or physical impediments to working full time, or having other non-work responsibilities </w:t>
      </w:r>
      <w:r w:rsidR="00B03661">
        <w:t xml:space="preserve">which limit </w:t>
      </w:r>
      <w:r>
        <w:t xml:space="preserve">the hours they can work in paid employment. </w:t>
      </w:r>
      <w:r w:rsidR="0096024A">
        <w:t xml:space="preserve">There might be other reasons too: a lack of motivation to improve their lot, a lack of ability (perceived or real) which prevents them from undertaking study to improve their employment prospects, and </w:t>
      </w:r>
      <w:r w:rsidR="00D611AC">
        <w:t xml:space="preserve">other </w:t>
      </w:r>
      <w:r w:rsidR="0096024A">
        <w:t>circumstances</w:t>
      </w:r>
      <w:r w:rsidR="00D611AC">
        <w:t>,</w:t>
      </w:r>
      <w:r w:rsidR="0096024A">
        <w:t xml:space="preserve"> like where they live geographical</w:t>
      </w:r>
      <w:r w:rsidR="00D611AC">
        <w:t>ly</w:t>
      </w:r>
      <w:r w:rsidR="0096024A">
        <w:t>, or</w:t>
      </w:r>
      <w:r w:rsidR="00D611AC">
        <w:t xml:space="preserve"> their</w:t>
      </w:r>
      <w:r w:rsidR="0096024A">
        <w:t xml:space="preserve"> access to transport. </w:t>
      </w:r>
      <w:r>
        <w:t>Some of these factors will not be mitigated by completing a qualification</w:t>
      </w:r>
      <w:r w:rsidR="00D611AC">
        <w:t xml:space="preserve"> at any level</w:t>
      </w:r>
      <w:r>
        <w:t>.</w:t>
      </w:r>
    </w:p>
    <w:p w:rsidR="002222FF" w:rsidRDefault="002222FF" w:rsidP="002222FF">
      <w:pPr>
        <w:pStyle w:val="BodyText"/>
      </w:pPr>
      <w:r>
        <w:t xml:space="preserve">We can summarise the results in the figures in tabular form. In Table 2, we show the status of income </w:t>
      </w:r>
      <w:r w:rsidR="00D611AC">
        <w:t xml:space="preserve">relative to the loan repayment threshold </w:t>
      </w:r>
      <w:r>
        <w:t>one and five years after completing study, for those who completed a qualification or not, for men and women with different benefit status. We distinguish between incomes which are above the student loan repayment threshold, only just above, and those which are not. We have shaded these latter instances to help visualise the results.</w:t>
      </w:r>
    </w:p>
    <w:p w:rsidR="002222FF" w:rsidRDefault="002222FF" w:rsidP="002222FF">
      <w:pPr>
        <w:pStyle w:val="BodyText"/>
      </w:pPr>
      <w:r>
        <w:t xml:space="preserve">It is clear from Table 2 that completing a qualification is far more likely to result in an income above the repayment threshold, although for men generally, and older people, </w:t>
      </w:r>
      <w:r w:rsidR="008031DB">
        <w:t xml:space="preserve">average </w:t>
      </w:r>
      <w:r>
        <w:t>incomes have risen to be mostly</w:t>
      </w:r>
      <w:r w:rsidR="008031DB">
        <w:t xml:space="preserve"> above the repayment threshold</w:t>
      </w:r>
      <w:r>
        <w:t xml:space="preserve"> </w:t>
      </w:r>
      <w:r w:rsidR="00D611AC">
        <w:t>within</w:t>
      </w:r>
      <w:r>
        <w:t xml:space="preserve"> five years. Similarly for those who do complete; if their incomes haven’t reached the repayment threshold after one year, they mostly have by year five. However, for those completing lower-level certificate qualifications, average incomes are often only marginally above the threshold, while they exceed the threshold for those completing diplomas and </w:t>
      </w:r>
      <w:proofErr w:type="spellStart"/>
      <w:r>
        <w:t>bachelors</w:t>
      </w:r>
      <w:proofErr w:type="spellEnd"/>
      <w:r>
        <w:t xml:space="preserve"> degrees for all age groups, sexes and </w:t>
      </w:r>
      <w:r w:rsidR="005C77F1">
        <w:t>benefit status.</w:t>
      </w:r>
    </w:p>
    <w:p w:rsidR="002222FF" w:rsidRDefault="002222FF" w:rsidP="002222FF">
      <w:pPr>
        <w:pStyle w:val="Heading3"/>
      </w:pPr>
      <w:r>
        <w:t>Subject choices</w:t>
      </w:r>
    </w:p>
    <w:p w:rsidR="002222FF" w:rsidRDefault="002222FF" w:rsidP="002222FF">
      <w:pPr>
        <w:pStyle w:val="BodyText"/>
      </w:pPr>
      <w:r>
        <w:t xml:space="preserve">It might be the case that the differences we see in income trajectories between people of different age and gender after completing the same level of tertiary study is because of differences in the subject of the qualification completed. It is known that some qualifications lead to higher-paid jobs—medical qualifications for example—or are more in demand in the labour market—engineering qualifications are an example. So if there is a systematic difference in the subjects studied between say, men and women, or people on a benefit versus those not receiving a benefit, or younger versus older people, this might go some way to </w:t>
      </w:r>
      <w:r w:rsidR="00D611AC">
        <w:t>understanding</w:t>
      </w:r>
      <w:r>
        <w:t xml:space="preserve"> differences in income after completing such a qualification.</w:t>
      </w:r>
    </w:p>
    <w:p w:rsidR="002222FF" w:rsidRDefault="002222FF" w:rsidP="002222FF">
      <w:pPr>
        <w:pStyle w:val="BodyText"/>
      </w:pPr>
      <w:r>
        <w:t>We investigated whether there were systematic patterns of preference in the particular qualifications completed by our study populations. We found:</w:t>
      </w:r>
    </w:p>
    <w:p w:rsidR="002222FF" w:rsidRDefault="002222FF" w:rsidP="002222FF">
      <w:pPr>
        <w:pStyle w:val="BodyText"/>
        <w:numPr>
          <w:ilvl w:val="0"/>
          <w:numId w:val="15"/>
        </w:numPr>
      </w:pPr>
      <w:r>
        <w:t>There are strong associations between gender and the subject of the qualification completed for all levels of study, although the particular subjects studied by men and women depend on the level of study. Women tended to gain qualifications in the areas of nursing, teacher education, human welfare, language and literature and personnel services. Men tended to gain qualifications in the areas of mechanical and industrial engineering, automotive engineering and technology, agriculture, horticulture and viticulture, building, architecture, and sport and recreation.</w:t>
      </w:r>
    </w:p>
    <w:p w:rsidR="002222FF" w:rsidRDefault="002222FF" w:rsidP="002222FF">
      <w:pPr>
        <w:pStyle w:val="BodyText"/>
      </w:pPr>
    </w:p>
    <w:p w:rsidR="002222FF" w:rsidRDefault="002222FF" w:rsidP="003053E3">
      <w:pPr>
        <w:pStyle w:val="BodyText"/>
      </w:pPr>
    </w:p>
    <w:p w:rsidR="002222FF" w:rsidRDefault="002222FF" w:rsidP="003053E3">
      <w:pPr>
        <w:pStyle w:val="BodyText"/>
        <w:sectPr w:rsidR="002222FF" w:rsidSect="00027A31">
          <w:headerReference w:type="even" r:id="rId35"/>
          <w:headerReference w:type="default" r:id="rId36"/>
          <w:footerReference w:type="even" r:id="rId37"/>
          <w:footerReference w:type="default" r:id="rId38"/>
          <w:headerReference w:type="first" r:id="rId39"/>
          <w:pgSz w:w="11906" w:h="16838" w:code="9"/>
          <w:pgMar w:top="1418" w:right="1701" w:bottom="1418" w:left="1701" w:header="709" w:footer="709" w:gutter="0"/>
          <w:cols w:space="708"/>
          <w:docGrid w:linePitch="360"/>
        </w:sectPr>
      </w:pPr>
    </w:p>
    <w:p w:rsidR="003053E3" w:rsidRDefault="003053E3" w:rsidP="003053E3">
      <w:pPr>
        <w:pStyle w:val="BodyText"/>
      </w:pPr>
    </w:p>
    <w:p w:rsidR="006E7B70" w:rsidRPr="009325FA" w:rsidRDefault="006E7B70" w:rsidP="000C371E">
      <w:pPr>
        <w:pStyle w:val="Caption"/>
        <w:ind w:right="3229"/>
        <w:rPr>
          <w:sz w:val="16"/>
        </w:rPr>
      </w:pPr>
      <w:proofErr w:type="gramStart"/>
      <w:r w:rsidRPr="009325FA">
        <w:rPr>
          <w:sz w:val="16"/>
        </w:rPr>
        <w:t xml:space="preserve">Table </w:t>
      </w:r>
      <w:r w:rsidR="0092253D" w:rsidRPr="009325FA">
        <w:rPr>
          <w:sz w:val="16"/>
        </w:rPr>
        <w:fldChar w:fldCharType="begin"/>
      </w:r>
      <w:r w:rsidRPr="009325FA">
        <w:rPr>
          <w:sz w:val="16"/>
        </w:rPr>
        <w:instrText xml:space="preserve"> SEQ Table \* ARABIC </w:instrText>
      </w:r>
      <w:r w:rsidR="0092253D" w:rsidRPr="009325FA">
        <w:rPr>
          <w:sz w:val="16"/>
        </w:rPr>
        <w:fldChar w:fldCharType="separate"/>
      </w:r>
      <w:r w:rsidR="00D15EF8">
        <w:rPr>
          <w:noProof/>
          <w:sz w:val="16"/>
        </w:rPr>
        <w:t>1</w:t>
      </w:r>
      <w:r w:rsidR="0092253D" w:rsidRPr="009325FA">
        <w:rPr>
          <w:sz w:val="16"/>
        </w:rPr>
        <w:fldChar w:fldCharType="end"/>
      </w:r>
      <w:r>
        <w:rPr>
          <w:sz w:val="16"/>
        </w:rPr>
        <w:t>.</w:t>
      </w:r>
      <w:proofErr w:type="gramEnd"/>
      <w:r w:rsidRPr="009325FA">
        <w:rPr>
          <w:sz w:val="16"/>
        </w:rPr>
        <w:t xml:space="preserve"> </w:t>
      </w:r>
      <w:r w:rsidR="006F5491">
        <w:rPr>
          <w:sz w:val="16"/>
        </w:rPr>
        <w:t>Indicators showing whether average income</w:t>
      </w:r>
      <w:r w:rsidR="000C371E">
        <w:rPr>
          <w:sz w:val="16"/>
        </w:rPr>
        <w:t>s</w:t>
      </w:r>
      <w:r w:rsidR="006F5491">
        <w:rPr>
          <w:sz w:val="16"/>
        </w:rPr>
        <w:t xml:space="preserve"> </w:t>
      </w:r>
      <w:r w:rsidR="000C371E">
        <w:rPr>
          <w:sz w:val="16"/>
        </w:rPr>
        <w:t xml:space="preserve">for student loan borrowers </w:t>
      </w:r>
      <w:r w:rsidR="006F5491">
        <w:rPr>
          <w:sz w:val="16"/>
        </w:rPr>
        <w:t>reach the student loan repayment threshold</w:t>
      </w:r>
      <w:r w:rsidR="000C371E">
        <w:rPr>
          <w:sz w:val="16"/>
        </w:rPr>
        <w:t xml:space="preserve"> for particular combinations of level of study, age, gender and benefit status, one year and five years after completing study, for those who did or did not gain the qualification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6"/>
        <w:gridCol w:w="817"/>
        <w:gridCol w:w="1031"/>
        <w:gridCol w:w="510"/>
        <w:gridCol w:w="510"/>
        <w:gridCol w:w="510"/>
        <w:gridCol w:w="506"/>
        <w:gridCol w:w="8"/>
        <w:gridCol w:w="510"/>
        <w:gridCol w:w="510"/>
        <w:gridCol w:w="510"/>
        <w:gridCol w:w="513"/>
        <w:gridCol w:w="6"/>
        <w:gridCol w:w="504"/>
        <w:gridCol w:w="510"/>
        <w:gridCol w:w="510"/>
        <w:gridCol w:w="510"/>
        <w:gridCol w:w="10"/>
        <w:gridCol w:w="500"/>
        <w:gridCol w:w="510"/>
        <w:gridCol w:w="510"/>
        <w:gridCol w:w="514"/>
      </w:tblGrid>
      <w:tr w:rsidR="006E7B70" w:rsidRPr="00655E61" w:rsidTr="006E7B70">
        <w:tc>
          <w:tcPr>
            <w:tcW w:w="676" w:type="dxa"/>
            <w:vMerge w:val="restart"/>
            <w:tcBorders>
              <w:top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Age in 1999</w:t>
            </w:r>
          </w:p>
        </w:tc>
        <w:tc>
          <w:tcPr>
            <w:tcW w:w="817" w:type="dxa"/>
            <w:vMerge w:val="restart"/>
            <w:tcBorders>
              <w:top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Gender</w:t>
            </w:r>
          </w:p>
        </w:tc>
        <w:tc>
          <w:tcPr>
            <w:tcW w:w="1031" w:type="dxa"/>
            <w:vMerge w:val="restart"/>
            <w:tcBorders>
              <w:top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On a benefit (in the particular year)</w:t>
            </w:r>
          </w:p>
        </w:tc>
        <w:tc>
          <w:tcPr>
            <w:tcW w:w="4093" w:type="dxa"/>
            <w:gridSpan w:val="10"/>
            <w:tcBorders>
              <w:top w:val="single" w:sz="4" w:space="0" w:color="auto"/>
              <w:bottom w:val="single" w:sz="4" w:space="0" w:color="auto"/>
              <w:right w:val="dotted"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Completed qualification</w:t>
            </w:r>
          </w:p>
        </w:tc>
        <w:tc>
          <w:tcPr>
            <w:tcW w:w="4078" w:type="dxa"/>
            <w:gridSpan w:val="9"/>
            <w:tcBorders>
              <w:top w:val="single" w:sz="4" w:space="0" w:color="auto"/>
              <w:left w:val="dotted" w:sz="4" w:space="0" w:color="auto"/>
              <w:bottom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Did not complete qualification</w:t>
            </w:r>
          </w:p>
        </w:tc>
      </w:tr>
      <w:tr w:rsidR="006E7B70" w:rsidRPr="00655E61" w:rsidTr="006E7B70">
        <w:tc>
          <w:tcPr>
            <w:tcW w:w="676" w:type="dxa"/>
            <w:vMerge/>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vMerge/>
          </w:tcPr>
          <w:p w:rsidR="006E7B70" w:rsidRPr="00655E61" w:rsidRDefault="006E7B70" w:rsidP="006E7B70">
            <w:pPr>
              <w:pStyle w:val="BodyText"/>
              <w:spacing w:before="40" w:after="40" w:line="240" w:lineRule="auto"/>
              <w:jc w:val="center"/>
              <w:rPr>
                <w:rFonts w:ascii="Arial" w:hAnsi="Arial" w:cs="Arial"/>
                <w:sz w:val="18"/>
                <w:szCs w:val="18"/>
              </w:rPr>
            </w:pPr>
          </w:p>
        </w:tc>
        <w:tc>
          <w:tcPr>
            <w:tcW w:w="1031" w:type="dxa"/>
            <w:vMerge/>
          </w:tcPr>
          <w:p w:rsidR="006E7B70" w:rsidRPr="00655E61" w:rsidRDefault="006E7B70" w:rsidP="006E7B70">
            <w:pPr>
              <w:pStyle w:val="BodyText"/>
              <w:spacing w:before="40" w:after="40" w:line="240" w:lineRule="auto"/>
              <w:jc w:val="center"/>
              <w:rPr>
                <w:rFonts w:ascii="Arial" w:hAnsi="Arial" w:cs="Arial"/>
                <w:sz w:val="18"/>
                <w:szCs w:val="18"/>
              </w:rPr>
            </w:pPr>
          </w:p>
        </w:tc>
        <w:tc>
          <w:tcPr>
            <w:tcW w:w="2036" w:type="dxa"/>
            <w:gridSpan w:val="4"/>
            <w:tcBorders>
              <w:top w:val="single" w:sz="4" w:space="0" w:color="auto"/>
              <w:bottom w:val="single" w:sz="4" w:space="0" w:color="auto"/>
              <w:right w:val="dotted" w:sz="4" w:space="0" w:color="auto"/>
            </w:tcBorders>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One year after finishing study</w:t>
            </w:r>
          </w:p>
        </w:tc>
        <w:tc>
          <w:tcPr>
            <w:tcW w:w="2057" w:type="dxa"/>
            <w:gridSpan w:val="6"/>
            <w:tcBorders>
              <w:top w:val="single" w:sz="4" w:space="0" w:color="auto"/>
              <w:left w:val="dotted" w:sz="4" w:space="0" w:color="auto"/>
              <w:bottom w:val="single" w:sz="4" w:space="0" w:color="auto"/>
              <w:right w:val="dotted"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Five years after finishing study</w:t>
            </w:r>
          </w:p>
        </w:tc>
        <w:tc>
          <w:tcPr>
            <w:tcW w:w="2044" w:type="dxa"/>
            <w:gridSpan w:val="5"/>
            <w:tcBorders>
              <w:top w:val="single" w:sz="4" w:space="0" w:color="auto"/>
              <w:left w:val="dotted" w:sz="4" w:space="0" w:color="auto"/>
              <w:bottom w:val="single" w:sz="4" w:space="0" w:color="auto"/>
              <w:right w:val="dotted" w:sz="4" w:space="0" w:color="auto"/>
            </w:tcBorders>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One year after finishing study</w:t>
            </w:r>
          </w:p>
        </w:tc>
        <w:tc>
          <w:tcPr>
            <w:tcW w:w="2034" w:type="dxa"/>
            <w:gridSpan w:val="4"/>
            <w:tcBorders>
              <w:top w:val="single" w:sz="4" w:space="0" w:color="auto"/>
              <w:left w:val="dotted" w:sz="4" w:space="0" w:color="auto"/>
              <w:bottom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Five years after finishing study</w:t>
            </w:r>
          </w:p>
        </w:tc>
      </w:tr>
      <w:tr w:rsidR="006E7B70" w:rsidRPr="00655E61" w:rsidTr="006E7B70">
        <w:trPr>
          <w:cantSplit/>
          <w:trHeight w:val="1105"/>
        </w:trPr>
        <w:tc>
          <w:tcPr>
            <w:tcW w:w="676" w:type="dxa"/>
            <w:vMerge/>
            <w:tcBorders>
              <w:bottom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vMerge/>
            <w:tcBorders>
              <w:bottom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p>
        </w:tc>
        <w:tc>
          <w:tcPr>
            <w:tcW w:w="1031" w:type="dxa"/>
            <w:vMerge/>
            <w:tcBorders>
              <w:bottom w:val="single" w:sz="4" w:space="0" w:color="auto"/>
            </w:tcBorders>
            <w:vAlign w:val="bottom"/>
          </w:tcPr>
          <w:p w:rsidR="006E7B70" w:rsidRPr="00655E61" w:rsidRDefault="006E7B70" w:rsidP="006E7B70">
            <w:pPr>
              <w:pStyle w:val="BodyText"/>
              <w:spacing w:before="40" w:after="40" w:line="240" w:lineRule="auto"/>
              <w:jc w:val="center"/>
              <w:rPr>
                <w:rFonts w:ascii="Arial" w:hAnsi="Arial" w:cs="Arial"/>
                <w:sz w:val="18"/>
                <w:szCs w:val="18"/>
              </w:rPr>
            </w:pP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1-3</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4</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Diploma</w:t>
            </w:r>
          </w:p>
        </w:tc>
        <w:tc>
          <w:tcPr>
            <w:tcW w:w="514" w:type="dxa"/>
            <w:gridSpan w:val="2"/>
            <w:tcBorders>
              <w:top w:val="single" w:sz="4" w:space="0" w:color="auto"/>
              <w:bottom w:val="single" w:sz="4" w:space="0" w:color="auto"/>
              <w:right w:val="dotted"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Bachelors</w:t>
            </w:r>
          </w:p>
        </w:tc>
        <w:tc>
          <w:tcPr>
            <w:tcW w:w="510" w:type="dxa"/>
            <w:tcBorders>
              <w:top w:val="single" w:sz="4" w:space="0" w:color="auto"/>
              <w:left w:val="dotted"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1-3</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4</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Diploma</w:t>
            </w:r>
          </w:p>
        </w:tc>
        <w:tc>
          <w:tcPr>
            <w:tcW w:w="513" w:type="dxa"/>
            <w:tcBorders>
              <w:top w:val="single" w:sz="4" w:space="0" w:color="auto"/>
              <w:bottom w:val="single" w:sz="4" w:space="0" w:color="auto"/>
              <w:right w:val="dotted"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Bachelors</w:t>
            </w:r>
          </w:p>
        </w:tc>
        <w:tc>
          <w:tcPr>
            <w:tcW w:w="510" w:type="dxa"/>
            <w:gridSpan w:val="2"/>
            <w:tcBorders>
              <w:top w:val="single" w:sz="4" w:space="0" w:color="auto"/>
              <w:left w:val="dotted"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1-3</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4</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Diploma</w:t>
            </w:r>
          </w:p>
        </w:tc>
        <w:tc>
          <w:tcPr>
            <w:tcW w:w="510" w:type="dxa"/>
            <w:tcBorders>
              <w:top w:val="single" w:sz="4" w:space="0" w:color="auto"/>
              <w:bottom w:val="single" w:sz="4" w:space="0" w:color="auto"/>
              <w:right w:val="dotted"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Bachelors</w:t>
            </w:r>
          </w:p>
        </w:tc>
        <w:tc>
          <w:tcPr>
            <w:tcW w:w="510" w:type="dxa"/>
            <w:gridSpan w:val="2"/>
            <w:tcBorders>
              <w:top w:val="single" w:sz="4" w:space="0" w:color="auto"/>
              <w:left w:val="dotted"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1-3</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Cert 4</w:t>
            </w:r>
          </w:p>
        </w:tc>
        <w:tc>
          <w:tcPr>
            <w:tcW w:w="510"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Diploma</w:t>
            </w:r>
          </w:p>
        </w:tc>
        <w:tc>
          <w:tcPr>
            <w:tcW w:w="514" w:type="dxa"/>
            <w:tcBorders>
              <w:top w:val="single" w:sz="4" w:space="0" w:color="auto"/>
              <w:bottom w:val="single" w:sz="4" w:space="0" w:color="auto"/>
            </w:tcBorders>
            <w:textDirection w:val="btLr"/>
            <w:vAlign w:val="center"/>
          </w:tcPr>
          <w:p w:rsidR="006E7B70" w:rsidRPr="00655E61" w:rsidRDefault="006E7B70" w:rsidP="006E7B70">
            <w:pPr>
              <w:pStyle w:val="BodyText"/>
              <w:spacing w:before="40" w:after="40" w:line="240" w:lineRule="auto"/>
              <w:ind w:left="113" w:right="113"/>
              <w:jc w:val="left"/>
              <w:rPr>
                <w:rFonts w:ascii="Arial" w:hAnsi="Arial" w:cs="Arial"/>
                <w:sz w:val="18"/>
                <w:szCs w:val="18"/>
              </w:rPr>
            </w:pPr>
            <w:r>
              <w:rPr>
                <w:rFonts w:ascii="Arial" w:hAnsi="Arial" w:cs="Arial"/>
                <w:sz w:val="18"/>
                <w:szCs w:val="18"/>
              </w:rPr>
              <w:t>Bachelors</w:t>
            </w:r>
          </w:p>
        </w:tc>
      </w:tr>
      <w:tr w:rsidR="006E7B70" w:rsidRPr="00655E61" w:rsidTr="006E7B70">
        <w:tc>
          <w:tcPr>
            <w:tcW w:w="676"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20</w:t>
            </w:r>
          </w:p>
        </w:tc>
        <w:tc>
          <w:tcPr>
            <w:tcW w:w="817"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Male</w:t>
            </w:r>
          </w:p>
        </w:tc>
        <w:tc>
          <w:tcPr>
            <w:tcW w:w="1031"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4" w:type="dxa"/>
            <w:gridSpan w:val="2"/>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righ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gridSpan w:val="2"/>
            <w:tcBorders>
              <w:left w:val="dotted" w:sz="4" w:space="0" w:color="auto"/>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Female</w:t>
            </w:r>
          </w:p>
        </w:tc>
        <w:tc>
          <w:tcPr>
            <w:tcW w:w="1031"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right w:val="dotted" w:sz="4" w:space="0" w:color="auto"/>
            </w:tcBorders>
            <w:shd w:val="clear" w:color="auto" w:fill="auto"/>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4" w:type="dxa"/>
            <w:gridSpan w:val="2"/>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righ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gridSpan w:val="2"/>
            <w:tcBorders>
              <w:left w:val="dotted" w:sz="4" w:space="0" w:color="auto"/>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4"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30</w:t>
            </w:r>
          </w:p>
        </w:tc>
        <w:tc>
          <w:tcPr>
            <w:tcW w:w="817"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Male</w:t>
            </w:r>
          </w:p>
        </w:tc>
        <w:tc>
          <w:tcPr>
            <w:tcW w:w="1031"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gridSpan w:val="2"/>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righ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gridSpan w:val="2"/>
            <w:tcBorders>
              <w:left w:val="dotted" w:sz="4" w:space="0" w:color="auto"/>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Female</w:t>
            </w:r>
          </w:p>
        </w:tc>
        <w:tc>
          <w:tcPr>
            <w:tcW w:w="1031"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righ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tcBorders>
              <w:bottom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gridSpan w:val="2"/>
            <w:tcBorders>
              <w:left w:val="dotted" w:sz="4" w:space="0" w:color="auto"/>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tcBorders>
              <w:top w:val="single" w:sz="4" w:space="0" w:color="auto"/>
            </w:tcBorders>
            <w:vAlign w:val="center"/>
          </w:tcPr>
          <w:p w:rsidR="006E7B70" w:rsidRPr="00655E61"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40</w:t>
            </w:r>
          </w:p>
        </w:tc>
        <w:tc>
          <w:tcPr>
            <w:tcW w:w="817"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Male</w:t>
            </w:r>
          </w:p>
        </w:tc>
        <w:tc>
          <w:tcPr>
            <w:tcW w:w="1031"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right w:val="dotted"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right w:val="dotted"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gridSpan w:val="2"/>
            <w:tcBorders>
              <w:left w:val="dotted" w:sz="4" w:space="0" w:color="auto"/>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vAlign w:val="center"/>
          </w:tcPr>
          <w:p w:rsidR="006E7B70" w:rsidRDefault="006E7B70" w:rsidP="006E7B70">
            <w:pPr>
              <w:pStyle w:val="BodyText"/>
              <w:spacing w:before="40" w:after="40" w:line="240" w:lineRule="auto"/>
              <w:jc w:val="center"/>
              <w:rPr>
                <w:rFonts w:ascii="Arial" w:hAnsi="Arial" w:cs="Arial"/>
                <w:sz w:val="18"/>
                <w:szCs w:val="18"/>
              </w:rPr>
            </w:pPr>
          </w:p>
        </w:tc>
        <w:tc>
          <w:tcPr>
            <w:tcW w:w="817"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Female</w:t>
            </w:r>
          </w:p>
        </w:tc>
        <w:tc>
          <w:tcPr>
            <w:tcW w:w="1031"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No</w:t>
            </w:r>
          </w:p>
        </w:tc>
        <w:tc>
          <w:tcPr>
            <w:tcW w:w="510" w:type="dxa"/>
            <w:tcBorders>
              <w:top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top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lef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top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top w:val="single" w:sz="4" w:space="0" w:color="auto"/>
              <w:left w:val="dotted"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tcBorders>
              <w:top w:val="single" w:sz="4" w:space="0" w:color="auto"/>
              <w:right w:val="dotted" w:sz="4" w:space="0" w:color="auto"/>
            </w:tcBorders>
            <w:shd w:val="clear" w:color="auto" w:fill="DDD9C3" w:themeFill="background2" w:themeFillShade="E6"/>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x</w:t>
            </w:r>
          </w:p>
        </w:tc>
        <w:tc>
          <w:tcPr>
            <w:tcW w:w="510" w:type="dxa"/>
            <w:gridSpan w:val="2"/>
            <w:tcBorders>
              <w:top w:val="single" w:sz="4" w:space="0" w:color="auto"/>
              <w:lef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top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r w:rsidR="006E7B70" w:rsidRPr="00655E61" w:rsidTr="006E7B70">
        <w:tc>
          <w:tcPr>
            <w:tcW w:w="676"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p>
        </w:tc>
        <w:tc>
          <w:tcPr>
            <w:tcW w:w="817"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p>
        </w:tc>
        <w:tc>
          <w:tcPr>
            <w:tcW w:w="1031"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Yes</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gridSpan w:val="2"/>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left w:val="dotted" w:sz="4" w:space="0" w:color="auto"/>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3" w:type="dxa"/>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0" w:type="dxa"/>
            <w:gridSpan w:val="2"/>
            <w:tcBorders>
              <w:left w:val="dotted" w:sz="4" w:space="0" w:color="auto"/>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shd w:val="clear" w:color="auto" w:fill="auto"/>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right w:val="dotted"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gridSpan w:val="2"/>
            <w:tcBorders>
              <w:left w:val="dotted" w:sz="4" w:space="0" w:color="auto"/>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M</w:t>
            </w:r>
          </w:p>
        </w:tc>
        <w:tc>
          <w:tcPr>
            <w:tcW w:w="510"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c>
          <w:tcPr>
            <w:tcW w:w="514" w:type="dxa"/>
            <w:tcBorders>
              <w:bottom w:val="single" w:sz="4" w:space="0" w:color="auto"/>
            </w:tcBorders>
            <w:vAlign w:val="center"/>
          </w:tcPr>
          <w:p w:rsidR="006E7B70" w:rsidRDefault="006E7B70" w:rsidP="006E7B70">
            <w:pPr>
              <w:pStyle w:val="BodyText"/>
              <w:spacing w:before="40" w:after="40" w:line="240" w:lineRule="auto"/>
              <w:jc w:val="center"/>
              <w:rPr>
                <w:rFonts w:ascii="Arial" w:hAnsi="Arial" w:cs="Arial"/>
                <w:sz w:val="18"/>
                <w:szCs w:val="18"/>
              </w:rPr>
            </w:pPr>
            <w:r>
              <w:rPr>
                <w:rFonts w:ascii="Arial" w:hAnsi="Arial" w:cs="Arial"/>
                <w:sz w:val="18"/>
                <w:szCs w:val="18"/>
              </w:rPr>
              <w:t>Y</w:t>
            </w:r>
          </w:p>
        </w:tc>
      </w:tr>
    </w:tbl>
    <w:p w:rsidR="006E7B70" w:rsidRDefault="000C371E" w:rsidP="006E7B70">
      <w:pPr>
        <w:spacing w:before="120" w:after="240"/>
        <w:rPr>
          <w:rFonts w:ascii="Arial" w:hAnsi="Arial" w:cs="Arial"/>
          <w:sz w:val="16"/>
          <w:szCs w:val="16"/>
        </w:rPr>
      </w:pPr>
      <w:r>
        <w:rPr>
          <w:rFonts w:ascii="Arial" w:hAnsi="Arial" w:cs="Arial"/>
          <w:sz w:val="16"/>
          <w:szCs w:val="16"/>
        </w:rPr>
        <w:t>These indicators are based on Figures 1 to 3.</w:t>
      </w:r>
      <w:r>
        <w:rPr>
          <w:rFonts w:ascii="Arial" w:hAnsi="Arial" w:cs="Arial"/>
          <w:sz w:val="16"/>
          <w:szCs w:val="16"/>
        </w:rPr>
        <w:br/>
      </w:r>
      <w:r w:rsidR="006E7B70">
        <w:rPr>
          <w:rFonts w:ascii="Arial" w:hAnsi="Arial" w:cs="Arial"/>
          <w:sz w:val="16"/>
          <w:szCs w:val="16"/>
        </w:rPr>
        <w:t>Y=income above the student loan repayment threshold</w:t>
      </w:r>
      <w:r w:rsidR="006E7B70">
        <w:rPr>
          <w:rFonts w:ascii="Arial" w:hAnsi="Arial" w:cs="Arial"/>
          <w:sz w:val="16"/>
          <w:szCs w:val="16"/>
        </w:rPr>
        <w:br/>
        <w:t>M=income slightly above the repayment threshold</w:t>
      </w:r>
      <w:r w:rsidR="006E7B70">
        <w:rPr>
          <w:rFonts w:ascii="Arial" w:hAnsi="Arial" w:cs="Arial"/>
          <w:sz w:val="16"/>
          <w:szCs w:val="16"/>
        </w:rPr>
        <w:br/>
        <w:t>x=income not above repayment threshold</w:t>
      </w:r>
    </w:p>
    <w:p w:rsidR="006E7B70" w:rsidRDefault="006E7B70" w:rsidP="003053E3">
      <w:pPr>
        <w:pStyle w:val="BodyText"/>
      </w:pPr>
    </w:p>
    <w:p w:rsidR="002222FF" w:rsidRDefault="002222FF" w:rsidP="00521B60">
      <w:pPr>
        <w:pStyle w:val="Heading3"/>
        <w:sectPr w:rsidR="002222FF" w:rsidSect="002222FF">
          <w:pgSz w:w="16838" w:h="11906" w:orient="landscape" w:code="9"/>
          <w:pgMar w:top="1701" w:right="1418" w:bottom="1701" w:left="1418" w:header="709" w:footer="709" w:gutter="0"/>
          <w:cols w:space="708"/>
          <w:docGrid w:linePitch="360"/>
        </w:sectPr>
      </w:pPr>
    </w:p>
    <w:p w:rsidR="002222FF" w:rsidRDefault="002222FF" w:rsidP="002222FF">
      <w:pPr>
        <w:pStyle w:val="BodyText"/>
        <w:numPr>
          <w:ilvl w:val="0"/>
          <w:numId w:val="15"/>
        </w:numPr>
      </w:pPr>
      <w:r>
        <w:lastRenderedPageBreak/>
        <w:t>There are clear associations between the subject of the qualification completed and the age of the student, but this applies mostly to lower-level qualifications, less so for higher levels. Younger women tended to complete certificates in the creative arts, food, tourism, hospitality and personnel services, while young men tended to complete certificates in sport and recreation, building, and engineering-related subjects.</w:t>
      </w:r>
    </w:p>
    <w:p w:rsidR="002222FF" w:rsidRDefault="002222FF" w:rsidP="002222FF">
      <w:pPr>
        <w:pStyle w:val="BodyText"/>
        <w:numPr>
          <w:ilvl w:val="0"/>
          <w:numId w:val="15"/>
        </w:numPr>
      </w:pPr>
      <w:r>
        <w:t xml:space="preserve">There are also some recurring patterns in the subjects of the qualifications completed by people on a benefit. The association was strongest in lower-level certificates, and essentially non-existent in </w:t>
      </w:r>
      <w:proofErr w:type="spellStart"/>
      <w:proofErr w:type="gramStart"/>
      <w:r>
        <w:t>bachelors</w:t>
      </w:r>
      <w:proofErr w:type="spellEnd"/>
      <w:proofErr w:type="gramEnd"/>
      <w:r>
        <w:t xml:space="preserve"> degrees, probably because beneficiaries were less likely to study at this higher level. Beneficiaries tended to be associated with mixed field studies (these include career development programmes, job search skills programmes and work practices programmes), and personnel services, tourism, and visual arts and crafts qualifications.</w:t>
      </w:r>
      <w:r w:rsidRPr="00B03661">
        <w:t xml:space="preserve"> </w:t>
      </w:r>
      <w:r>
        <w:t>Being on a benefit and being female were also closely associated.</w:t>
      </w:r>
    </w:p>
    <w:p w:rsidR="002222FF" w:rsidRDefault="002222FF" w:rsidP="002222FF">
      <w:pPr>
        <w:pStyle w:val="BodyText"/>
        <w:numPr>
          <w:ilvl w:val="0"/>
          <w:numId w:val="15"/>
        </w:numPr>
      </w:pPr>
      <w:r>
        <w:t xml:space="preserve">We looked at the association between having a student loan and the field of study, but the strongest association was between having a loan and being younger. </w:t>
      </w:r>
    </w:p>
    <w:p w:rsidR="002222FF" w:rsidRDefault="002222FF" w:rsidP="002222FF">
      <w:pPr>
        <w:pStyle w:val="BodyText"/>
        <w:numPr>
          <w:ilvl w:val="0"/>
          <w:numId w:val="15"/>
        </w:numPr>
      </w:pPr>
      <w:r>
        <w:t>We also considered whether there was any link between the subject of the qualification and pre-study incomes, but we found no association.</w:t>
      </w:r>
    </w:p>
    <w:p w:rsidR="00CE3297" w:rsidRDefault="00CE3297" w:rsidP="00CE3297">
      <w:pPr>
        <w:pStyle w:val="BodyText"/>
      </w:pPr>
      <w:r>
        <w:t>It is clear there are systematic differences in the subjects of the qualifications completed. It should be also clear that the subjects themselves have different empl</w:t>
      </w:r>
      <w:r w:rsidR="00521B60">
        <w:t xml:space="preserve">oyment and </w:t>
      </w:r>
      <w:r w:rsidR="003B63A7">
        <w:t>income</w:t>
      </w:r>
      <w:r w:rsidR="00521B60">
        <w:t xml:space="preserve"> potentials (see </w:t>
      </w:r>
      <w:r>
        <w:t>Mahoney, Park and Smyth</w:t>
      </w:r>
      <w:r w:rsidR="00521B60">
        <w:t xml:space="preserve">, </w:t>
      </w:r>
      <w:r>
        <w:t>2013)</w:t>
      </w:r>
      <w:r w:rsidR="00521B60">
        <w:t>.</w:t>
      </w:r>
      <w:r w:rsidR="003434D5">
        <w:t xml:space="preserve"> We think these </w:t>
      </w:r>
      <w:r w:rsidR="00521B60">
        <w:t xml:space="preserve">help to </w:t>
      </w:r>
      <w:r w:rsidR="00D611AC">
        <w:t>understand</w:t>
      </w:r>
      <w:r w:rsidR="003434D5">
        <w:t xml:space="preserve"> </w:t>
      </w:r>
      <w:r w:rsidR="00B03661">
        <w:t xml:space="preserve">some of </w:t>
      </w:r>
      <w:r w:rsidR="003434D5">
        <w:t xml:space="preserve">the differences in income trajectory seen for people completing the same </w:t>
      </w:r>
      <w:r w:rsidR="003434D5">
        <w:rPr>
          <w:i/>
        </w:rPr>
        <w:t xml:space="preserve">level </w:t>
      </w:r>
      <w:r w:rsidR="003434D5">
        <w:t>of qualification.</w:t>
      </w:r>
      <w:r w:rsidR="000A1D24">
        <w:t xml:space="preserve"> In particular, beneficiaries who complete </w:t>
      </w:r>
      <w:r w:rsidR="00783B89">
        <w:t xml:space="preserve">lower-level </w:t>
      </w:r>
      <w:r w:rsidR="000A1D24">
        <w:t>mixed field programmes are likely to be older persons with poor work histories, and completing one of these programmes is not likely to provide the same boost to income as someone completing a vocationally-focussed qualification</w:t>
      </w:r>
      <w:r w:rsidR="00783B89">
        <w:t xml:space="preserve"> at the same level of study</w:t>
      </w:r>
      <w:r w:rsidR="000A1D24">
        <w:t>.</w:t>
      </w:r>
      <w:r w:rsidR="0091395B">
        <w:t xml:space="preserve"> More generally, people with less involvement with the labour market will be expected to have lower average incomes over time.</w:t>
      </w:r>
    </w:p>
    <w:p w:rsidR="00521B60" w:rsidRDefault="006E7B70" w:rsidP="00521B60">
      <w:pPr>
        <w:pStyle w:val="Heading3"/>
      </w:pPr>
      <w:r>
        <w:t>Additional patterns of income</w:t>
      </w:r>
      <w:r w:rsidR="00521B60">
        <w:t xml:space="preserve"> trajectories</w:t>
      </w:r>
    </w:p>
    <w:p w:rsidR="002E468F" w:rsidRDefault="002E468F" w:rsidP="002E468F">
      <w:pPr>
        <w:pStyle w:val="BodyText"/>
      </w:pPr>
      <w:r>
        <w:t xml:space="preserve">In our regression models, we include factors, known as residuals, which allow each person’s </w:t>
      </w:r>
      <w:r w:rsidR="007F61F9">
        <w:t xml:space="preserve">individual </w:t>
      </w:r>
      <w:r>
        <w:t>income parameters to be scattered about the relevant population averages. These residuals represent those portions of income that remain ‘unexplained’ by the model’s factors (Singer and Willett 2003). Since these residuals represent deviations between the individual income parameters and their respective population averages, their variances and co-variances summarise the population variation around these averages</w:t>
      </w:r>
      <w:r w:rsidR="000125EE">
        <w:t xml:space="preserve"> after controlling for the factors in the model</w:t>
      </w:r>
      <w:r>
        <w:t xml:space="preserve">. </w:t>
      </w:r>
    </w:p>
    <w:p w:rsidR="004307EF" w:rsidRDefault="004307EF" w:rsidP="002E468F">
      <w:pPr>
        <w:pStyle w:val="BodyText"/>
      </w:pPr>
      <w:r>
        <w:t xml:space="preserve">In </w:t>
      </w:r>
      <w:r w:rsidR="00D611AC">
        <w:t>our models, we captured between-</w:t>
      </w:r>
      <w:r>
        <w:t>person residuals for pre-study and post-completion rate</w:t>
      </w:r>
      <w:r w:rsidR="00D611AC">
        <w:t>s</w:t>
      </w:r>
      <w:r>
        <w:t xml:space="preserve"> of change in income, and for the </w:t>
      </w:r>
      <w:r w:rsidR="007F61F9">
        <w:t xml:space="preserve">level of pre-study income and the </w:t>
      </w:r>
      <w:r>
        <w:t>step change in income on gaining a qualification</w:t>
      </w:r>
      <w:r w:rsidR="006E7B70">
        <w:t>.</w:t>
      </w:r>
      <w:r w:rsidR="00D91C6D">
        <w:t xml:space="preserve"> The model also captures the </w:t>
      </w:r>
      <w:r>
        <w:t>residuals which account for any one person’s actual income trajectory around their population’s average income trajectory through time.</w:t>
      </w:r>
    </w:p>
    <w:p w:rsidR="00D632BF" w:rsidRDefault="004307EF" w:rsidP="00622E1D">
      <w:pPr>
        <w:pStyle w:val="BodyText"/>
      </w:pPr>
      <w:r>
        <w:t xml:space="preserve">In short, we are able to look at the correlations between these residuals to give us a feel for how people’s income varies after controlling for their gender, age, beneficiary status, what level of study they attempted (if any), </w:t>
      </w:r>
      <w:r w:rsidR="00D91C6D">
        <w:t xml:space="preserve">and </w:t>
      </w:r>
      <w:r>
        <w:t xml:space="preserve">whether </w:t>
      </w:r>
      <w:r w:rsidR="00D91C6D">
        <w:t xml:space="preserve">or not </w:t>
      </w:r>
      <w:r>
        <w:t>they gained a qualification at that level.</w:t>
      </w:r>
      <w:r w:rsidR="00E80E77">
        <w:t xml:space="preserve"> </w:t>
      </w:r>
      <w:r w:rsidR="006C09CC">
        <w:t xml:space="preserve">These correlations are shown in </w:t>
      </w:r>
      <w:r w:rsidR="00622E1D">
        <w:t>Table 1</w:t>
      </w:r>
      <w:r w:rsidR="000125EE">
        <w:t>.</w:t>
      </w:r>
    </w:p>
    <w:p w:rsidR="006C09CC" w:rsidRDefault="006C09CC" w:rsidP="00622E1D">
      <w:pPr>
        <w:pStyle w:val="BodyText"/>
      </w:pPr>
      <w:bookmarkStart w:id="5" w:name="_Ref370818573"/>
      <w:r>
        <w:t>For young adults</w:t>
      </w:r>
      <w:r w:rsidR="002F6D6A">
        <w:t xml:space="preserve"> in their twenties,</w:t>
      </w:r>
      <w:r>
        <w:t xml:space="preserve"> </w:t>
      </w:r>
      <w:r w:rsidR="00BF607D">
        <w:t xml:space="preserve">at the start of their careers and </w:t>
      </w:r>
      <w:r>
        <w:t>before they undertake any tertiary study, there is a small but significant positive correlation between their income and how fast that income is rising over time (</w:t>
      </w:r>
      <w:r w:rsidR="00622E1D">
        <w:t>Table 1,</w:t>
      </w:r>
      <w:r>
        <w:t xml:space="preserve"> </w:t>
      </w:r>
      <w:r w:rsidR="00B03661">
        <w:t xml:space="preserve">first </w:t>
      </w:r>
      <w:r>
        <w:t xml:space="preserve">column </w:t>
      </w:r>
      <w:r w:rsidR="00B03661">
        <w:t>of data</w:t>
      </w:r>
      <w:r>
        <w:t xml:space="preserve">). That is to say, a higher </w:t>
      </w:r>
      <w:r w:rsidR="00B70B32">
        <w:t>pre-</w:t>
      </w:r>
      <w:r w:rsidR="00B70B32">
        <w:lastRenderedPageBreak/>
        <w:t>study income</w:t>
      </w:r>
      <w:r>
        <w:t xml:space="preserve"> is weakly associated with a higher </w:t>
      </w:r>
      <w:r w:rsidR="00DF1006">
        <w:t>annual rise</w:t>
      </w:r>
      <w:r>
        <w:t xml:space="preserve"> in income. On the other hand, there is a weak </w:t>
      </w:r>
      <w:r>
        <w:rPr>
          <w:i/>
        </w:rPr>
        <w:t xml:space="preserve">negative </w:t>
      </w:r>
      <w:r>
        <w:t>relationship between these two factors for people</w:t>
      </w:r>
      <w:r w:rsidR="00BF607D">
        <w:t xml:space="preserve"> in the middle of their careers</w:t>
      </w:r>
      <w:r>
        <w:t xml:space="preserve">. Or in other words, </w:t>
      </w:r>
      <w:r w:rsidR="00B74D45">
        <w:t>before starting any tertiary study,</w:t>
      </w:r>
      <w:r w:rsidR="003A0396">
        <w:t xml:space="preserve"> generally</w:t>
      </w:r>
      <w:r w:rsidR="00521B60">
        <w:t xml:space="preserve"> for those in their thirties or older,</w:t>
      </w:r>
      <w:r w:rsidR="003A0396">
        <w:t xml:space="preserve"> </w:t>
      </w:r>
      <w:r>
        <w:t>the higher the</w:t>
      </w:r>
      <w:r w:rsidR="00521B60">
        <w:t>ir</w:t>
      </w:r>
      <w:r>
        <w:t xml:space="preserve"> income the slower it is likely to be going up each year. This latter relationship is the one we are most </w:t>
      </w:r>
      <w:r w:rsidR="00521B60">
        <w:t>familiar with</w:t>
      </w:r>
      <w:r>
        <w:t>. People who are paid more, on average, have smaller annual increments in their salary.</w:t>
      </w:r>
      <w:r>
        <w:rPr>
          <w:rStyle w:val="FootnoteReference"/>
        </w:rPr>
        <w:footnoteReference w:id="8"/>
      </w:r>
      <w:r>
        <w:t xml:space="preserve"> </w:t>
      </w:r>
      <w:r w:rsidR="00D632B9">
        <w:t>But this is not the case f</w:t>
      </w:r>
      <w:r>
        <w:t xml:space="preserve">or young adults. Rather, it seems </w:t>
      </w:r>
      <w:r w:rsidR="00521B60">
        <w:t xml:space="preserve">young people </w:t>
      </w:r>
      <w:r>
        <w:t xml:space="preserve">who have started their careers higher up the income ladder seem to be slightly more likely to be on a steeper income trajectory. But the correlations are not large, which means there is much variation in the general patterns just described. </w:t>
      </w:r>
    </w:p>
    <w:p w:rsidR="006C09CC" w:rsidRPr="004D2C0C" w:rsidRDefault="006C09CC" w:rsidP="006C09CC">
      <w:pPr>
        <w:pStyle w:val="Caption"/>
        <w:rPr>
          <w:sz w:val="16"/>
        </w:rPr>
      </w:pPr>
      <w:proofErr w:type="gramStart"/>
      <w:r w:rsidRPr="004D2C0C">
        <w:rPr>
          <w:sz w:val="16"/>
        </w:rPr>
        <w:t xml:space="preserve">Table </w:t>
      </w:r>
      <w:r w:rsidR="0092253D" w:rsidRPr="004D2C0C">
        <w:rPr>
          <w:sz w:val="16"/>
        </w:rPr>
        <w:fldChar w:fldCharType="begin"/>
      </w:r>
      <w:r w:rsidRPr="004D2C0C">
        <w:rPr>
          <w:sz w:val="16"/>
        </w:rPr>
        <w:instrText xml:space="preserve"> SEQ Table \* ARABIC </w:instrText>
      </w:r>
      <w:r w:rsidR="0092253D" w:rsidRPr="004D2C0C">
        <w:rPr>
          <w:sz w:val="16"/>
        </w:rPr>
        <w:fldChar w:fldCharType="separate"/>
      </w:r>
      <w:r w:rsidR="00D15EF8">
        <w:rPr>
          <w:noProof/>
          <w:sz w:val="16"/>
        </w:rPr>
        <w:t>2</w:t>
      </w:r>
      <w:r w:rsidR="0092253D" w:rsidRPr="004D2C0C">
        <w:rPr>
          <w:sz w:val="16"/>
        </w:rPr>
        <w:fldChar w:fldCharType="end"/>
      </w:r>
      <w:bookmarkEnd w:id="5"/>
      <w:r w:rsidRPr="004D2C0C">
        <w:rPr>
          <w:sz w:val="16"/>
        </w:rPr>
        <w:t>.</w:t>
      </w:r>
      <w:proofErr w:type="gramEnd"/>
      <w:r w:rsidRPr="004D2C0C">
        <w:rPr>
          <w:sz w:val="16"/>
        </w:rPr>
        <w:t xml:space="preserve"> </w:t>
      </w:r>
      <w:r w:rsidR="00893D86" w:rsidRPr="004D2C0C">
        <w:rPr>
          <w:b w:val="0"/>
          <w:sz w:val="16"/>
        </w:rPr>
        <w:t>C</w:t>
      </w:r>
      <w:r w:rsidRPr="004D2C0C">
        <w:rPr>
          <w:b w:val="0"/>
          <w:sz w:val="16"/>
        </w:rPr>
        <w:t xml:space="preserve">orrelation coefficients </w:t>
      </w:r>
      <w:r w:rsidR="00893D86" w:rsidRPr="004D2C0C">
        <w:rPr>
          <w:b w:val="0"/>
          <w:sz w:val="16"/>
        </w:rPr>
        <w:t>between selected</w:t>
      </w:r>
      <w:r w:rsidRPr="004D2C0C">
        <w:rPr>
          <w:b w:val="0"/>
          <w:sz w:val="16"/>
        </w:rPr>
        <w:t xml:space="preserve"> </w:t>
      </w:r>
      <w:r w:rsidR="00893D86" w:rsidRPr="004D2C0C">
        <w:rPr>
          <w:b w:val="0"/>
          <w:sz w:val="16"/>
        </w:rPr>
        <w:t>components of income</w:t>
      </w:r>
      <w:r w:rsidRPr="004D2C0C">
        <w:rPr>
          <w:b w:val="0"/>
          <w:sz w:val="16"/>
        </w:rPr>
        <w:t>, by age and level of study</w:t>
      </w:r>
    </w:p>
    <w:tbl>
      <w:tblPr>
        <w:tblStyle w:val="TableGrid"/>
        <w:tblW w:w="87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0"/>
        <w:gridCol w:w="2428"/>
        <w:gridCol w:w="626"/>
        <w:gridCol w:w="350"/>
        <w:gridCol w:w="602"/>
        <w:gridCol w:w="350"/>
        <w:gridCol w:w="616"/>
        <w:gridCol w:w="335"/>
        <w:gridCol w:w="630"/>
        <w:gridCol w:w="336"/>
        <w:gridCol w:w="630"/>
        <w:gridCol w:w="322"/>
        <w:gridCol w:w="588"/>
        <w:gridCol w:w="336"/>
      </w:tblGrid>
      <w:tr w:rsidR="006C09CC" w:rsidRPr="003B0CD1" w:rsidTr="00B27F6D">
        <w:trPr>
          <w:cantSplit/>
          <w:trHeight w:val="202"/>
        </w:trPr>
        <w:tc>
          <w:tcPr>
            <w:tcW w:w="630" w:type="dxa"/>
            <w:tcBorders>
              <w:top w:val="single" w:sz="4" w:space="0" w:color="auto"/>
            </w:tcBorders>
            <w:shd w:val="clear" w:color="auto" w:fill="DDD9C3" w:themeFill="background2" w:themeFillShade="E6"/>
            <w:vAlign w:val="bottom"/>
          </w:tcPr>
          <w:p w:rsidR="006C09CC" w:rsidRPr="003B0CD1" w:rsidRDefault="006C09CC" w:rsidP="006C09CC">
            <w:pPr>
              <w:pStyle w:val="BodyText"/>
              <w:spacing w:before="40" w:after="20" w:line="240" w:lineRule="auto"/>
              <w:jc w:val="center"/>
              <w:rPr>
                <w:rFonts w:ascii="Arial" w:hAnsi="Arial" w:cs="Arial"/>
                <w:sz w:val="18"/>
              </w:rPr>
            </w:pPr>
          </w:p>
        </w:tc>
        <w:tc>
          <w:tcPr>
            <w:tcW w:w="2428" w:type="dxa"/>
            <w:tcBorders>
              <w:top w:val="single" w:sz="4" w:space="0" w:color="auto"/>
            </w:tcBorders>
            <w:shd w:val="clear" w:color="auto" w:fill="DDD9C3" w:themeFill="background2" w:themeFillShade="E6"/>
            <w:vAlign w:val="bottom"/>
          </w:tcPr>
          <w:p w:rsidR="006C09CC" w:rsidRPr="003B0CD1" w:rsidRDefault="006C09CC" w:rsidP="006C09CC">
            <w:pPr>
              <w:pStyle w:val="BodyText"/>
              <w:spacing w:before="40" w:after="20" w:line="240" w:lineRule="auto"/>
              <w:jc w:val="left"/>
              <w:rPr>
                <w:rFonts w:ascii="Arial" w:hAnsi="Arial" w:cs="Arial"/>
                <w:sz w:val="18"/>
              </w:rPr>
            </w:pPr>
          </w:p>
        </w:tc>
        <w:tc>
          <w:tcPr>
            <w:tcW w:w="5721" w:type="dxa"/>
            <w:gridSpan w:val="12"/>
            <w:tcBorders>
              <w:top w:val="single" w:sz="4" w:space="0" w:color="auto"/>
              <w:bottom w:val="single" w:sz="4" w:space="0" w:color="auto"/>
            </w:tcBorders>
            <w:shd w:val="clear" w:color="auto" w:fill="DDD9C3" w:themeFill="background2" w:themeFillShade="E6"/>
          </w:tcPr>
          <w:p w:rsidR="006C09CC" w:rsidRPr="003B0CD1" w:rsidRDefault="00893D86" w:rsidP="00893D86">
            <w:pPr>
              <w:pStyle w:val="BodyText"/>
              <w:spacing w:before="40" w:after="20" w:line="240" w:lineRule="auto"/>
              <w:jc w:val="center"/>
              <w:rPr>
                <w:rFonts w:ascii="Arial" w:hAnsi="Arial" w:cs="Arial"/>
                <w:sz w:val="18"/>
              </w:rPr>
            </w:pPr>
            <w:r>
              <w:rPr>
                <w:rFonts w:ascii="Arial" w:hAnsi="Arial" w:cs="Arial"/>
                <w:sz w:val="18"/>
              </w:rPr>
              <w:t>C</w:t>
            </w:r>
            <w:r w:rsidR="006C09CC">
              <w:rPr>
                <w:rFonts w:ascii="Arial" w:hAnsi="Arial" w:cs="Arial"/>
                <w:sz w:val="18"/>
              </w:rPr>
              <w:t>orrelation</w:t>
            </w:r>
            <w:r>
              <w:rPr>
                <w:rFonts w:ascii="Arial" w:hAnsi="Arial" w:cs="Arial"/>
                <w:sz w:val="18"/>
              </w:rPr>
              <w:t xml:space="preserve"> between:</w:t>
            </w:r>
          </w:p>
        </w:tc>
      </w:tr>
      <w:tr w:rsidR="00B27F6D" w:rsidRPr="003B0CD1" w:rsidTr="00B27F6D">
        <w:trPr>
          <w:cantSplit/>
          <w:trHeight w:val="2063"/>
        </w:trPr>
        <w:tc>
          <w:tcPr>
            <w:tcW w:w="630" w:type="dxa"/>
            <w:tcBorders>
              <w:bottom w:val="single" w:sz="4" w:space="0" w:color="auto"/>
            </w:tcBorders>
            <w:shd w:val="clear" w:color="auto" w:fill="DDD9C3" w:themeFill="background2" w:themeFillShade="E6"/>
            <w:vAlign w:val="bottom"/>
          </w:tcPr>
          <w:p w:rsidR="006C09CC" w:rsidRPr="003B0CD1" w:rsidRDefault="006C09CC" w:rsidP="006C09CC">
            <w:pPr>
              <w:pStyle w:val="BodyText"/>
              <w:spacing w:before="40" w:after="20" w:line="240" w:lineRule="auto"/>
              <w:jc w:val="center"/>
              <w:rPr>
                <w:rFonts w:ascii="Arial" w:hAnsi="Arial" w:cs="Arial"/>
                <w:sz w:val="18"/>
              </w:rPr>
            </w:pPr>
            <w:r w:rsidRPr="003B0CD1">
              <w:rPr>
                <w:rFonts w:ascii="Arial" w:hAnsi="Arial" w:cs="Arial"/>
                <w:sz w:val="18"/>
              </w:rPr>
              <w:t>Age in 1999</w:t>
            </w:r>
          </w:p>
        </w:tc>
        <w:tc>
          <w:tcPr>
            <w:tcW w:w="2428" w:type="dxa"/>
            <w:tcBorders>
              <w:bottom w:val="single" w:sz="4" w:space="0" w:color="auto"/>
            </w:tcBorders>
            <w:shd w:val="clear" w:color="auto" w:fill="DDD9C3" w:themeFill="background2" w:themeFillShade="E6"/>
            <w:vAlign w:val="bottom"/>
          </w:tcPr>
          <w:p w:rsidR="006C09CC" w:rsidRPr="003B0CD1" w:rsidRDefault="006C09CC" w:rsidP="006C09CC">
            <w:pPr>
              <w:pStyle w:val="BodyText"/>
              <w:spacing w:before="40" w:after="20" w:line="240" w:lineRule="auto"/>
              <w:jc w:val="left"/>
              <w:rPr>
                <w:rFonts w:ascii="Arial" w:hAnsi="Arial" w:cs="Arial"/>
                <w:sz w:val="18"/>
              </w:rPr>
            </w:pPr>
            <w:r w:rsidRPr="003B0CD1">
              <w:rPr>
                <w:rFonts w:ascii="Arial" w:hAnsi="Arial" w:cs="Arial"/>
                <w:sz w:val="18"/>
              </w:rPr>
              <w:t>Level of study</w:t>
            </w:r>
          </w:p>
        </w:tc>
        <w:tc>
          <w:tcPr>
            <w:tcW w:w="976" w:type="dxa"/>
            <w:gridSpan w:val="2"/>
            <w:tcBorders>
              <w:top w:val="single" w:sz="4" w:space="0" w:color="auto"/>
              <w:left w:val="nil"/>
              <w:bottom w:val="single" w:sz="4" w:space="0" w:color="auto"/>
            </w:tcBorders>
            <w:shd w:val="clear" w:color="auto" w:fill="DDD9C3" w:themeFill="background2" w:themeFillShade="E6"/>
            <w:textDirection w:val="btLr"/>
            <w:vAlign w:val="center"/>
          </w:tcPr>
          <w:p w:rsidR="006C09CC" w:rsidRPr="002063F3" w:rsidRDefault="00B70B32" w:rsidP="006C09CC">
            <w:pPr>
              <w:pStyle w:val="BodyText"/>
              <w:spacing w:before="40" w:after="20" w:line="240" w:lineRule="auto"/>
              <w:ind w:left="57" w:right="57"/>
              <w:jc w:val="left"/>
              <w:rPr>
                <w:rFonts w:ascii="Arial" w:hAnsi="Arial" w:cs="Arial"/>
                <w:sz w:val="16"/>
              </w:rPr>
            </w:pPr>
            <w:r>
              <w:rPr>
                <w:rFonts w:ascii="Arial" w:hAnsi="Arial" w:cs="Arial"/>
                <w:sz w:val="16"/>
              </w:rPr>
              <w:t>Pre-study income</w:t>
            </w:r>
            <w:r w:rsidR="006C09CC" w:rsidRPr="002063F3">
              <w:rPr>
                <w:rFonts w:ascii="Arial" w:hAnsi="Arial" w:cs="Arial"/>
                <w:sz w:val="16"/>
              </w:rPr>
              <w:t xml:space="preserve"> and rate of increase in income before studying</w:t>
            </w:r>
          </w:p>
        </w:tc>
        <w:tc>
          <w:tcPr>
            <w:tcW w:w="952" w:type="dxa"/>
            <w:gridSpan w:val="2"/>
            <w:tcBorders>
              <w:top w:val="single" w:sz="4" w:space="0" w:color="auto"/>
              <w:bottom w:val="single" w:sz="4" w:space="0" w:color="auto"/>
            </w:tcBorders>
            <w:shd w:val="clear" w:color="auto" w:fill="DDD9C3" w:themeFill="background2" w:themeFillShade="E6"/>
            <w:textDirection w:val="btLr"/>
            <w:vAlign w:val="center"/>
          </w:tcPr>
          <w:p w:rsidR="006C09CC" w:rsidRPr="002063F3" w:rsidRDefault="00B70B32" w:rsidP="006C09CC">
            <w:pPr>
              <w:pStyle w:val="BodyText"/>
              <w:spacing w:before="40" w:after="20" w:line="240" w:lineRule="auto"/>
              <w:ind w:left="57" w:right="57"/>
              <w:jc w:val="left"/>
              <w:rPr>
                <w:rFonts w:ascii="Arial" w:hAnsi="Arial" w:cs="Arial"/>
                <w:sz w:val="16"/>
              </w:rPr>
            </w:pPr>
            <w:r>
              <w:rPr>
                <w:rFonts w:ascii="Arial" w:hAnsi="Arial" w:cs="Arial"/>
                <w:sz w:val="16"/>
              </w:rPr>
              <w:t>Pre-study income</w:t>
            </w:r>
            <w:r w:rsidR="006C09CC" w:rsidRPr="002063F3">
              <w:rPr>
                <w:rFonts w:ascii="Arial" w:hAnsi="Arial" w:cs="Arial"/>
                <w:sz w:val="16"/>
              </w:rPr>
              <w:t xml:space="preserve"> and</w:t>
            </w:r>
            <w:r w:rsidR="006C09CC">
              <w:rPr>
                <w:rFonts w:ascii="Arial" w:hAnsi="Arial" w:cs="Arial"/>
                <w:sz w:val="16"/>
              </w:rPr>
              <w:t xml:space="preserve"> change in </w:t>
            </w:r>
            <w:r w:rsidR="006C09CC" w:rsidRPr="002063F3">
              <w:rPr>
                <w:rFonts w:ascii="Arial" w:hAnsi="Arial" w:cs="Arial"/>
                <w:sz w:val="16"/>
              </w:rPr>
              <w:t>income on completing</w:t>
            </w:r>
          </w:p>
        </w:tc>
        <w:tc>
          <w:tcPr>
            <w:tcW w:w="951" w:type="dxa"/>
            <w:gridSpan w:val="2"/>
            <w:tcBorders>
              <w:top w:val="single" w:sz="4" w:space="0" w:color="auto"/>
              <w:bottom w:val="single" w:sz="4" w:space="0" w:color="auto"/>
            </w:tcBorders>
            <w:shd w:val="clear" w:color="auto" w:fill="DDD9C3" w:themeFill="background2" w:themeFillShade="E6"/>
            <w:textDirection w:val="btLr"/>
            <w:vAlign w:val="center"/>
          </w:tcPr>
          <w:p w:rsidR="006C09CC" w:rsidRPr="002063F3" w:rsidRDefault="00B70B32" w:rsidP="006C09CC">
            <w:pPr>
              <w:pStyle w:val="BodyText"/>
              <w:spacing w:before="40" w:after="20" w:line="240" w:lineRule="auto"/>
              <w:ind w:left="57" w:right="57"/>
              <w:jc w:val="left"/>
              <w:rPr>
                <w:rFonts w:ascii="Arial" w:hAnsi="Arial" w:cs="Arial"/>
                <w:sz w:val="16"/>
              </w:rPr>
            </w:pPr>
            <w:r>
              <w:rPr>
                <w:rFonts w:ascii="Arial" w:hAnsi="Arial" w:cs="Arial"/>
                <w:sz w:val="16"/>
              </w:rPr>
              <w:t>Pre-study income</w:t>
            </w:r>
            <w:r w:rsidR="006C09CC" w:rsidRPr="002063F3">
              <w:rPr>
                <w:rFonts w:ascii="Arial" w:hAnsi="Arial" w:cs="Arial"/>
                <w:sz w:val="16"/>
              </w:rPr>
              <w:t xml:space="preserve"> and rate of increase in income after completing</w:t>
            </w:r>
          </w:p>
        </w:tc>
        <w:tc>
          <w:tcPr>
            <w:tcW w:w="966" w:type="dxa"/>
            <w:gridSpan w:val="2"/>
            <w:tcBorders>
              <w:top w:val="single" w:sz="4" w:space="0" w:color="auto"/>
              <w:bottom w:val="single" w:sz="4" w:space="0" w:color="auto"/>
            </w:tcBorders>
            <w:shd w:val="clear" w:color="auto" w:fill="DDD9C3" w:themeFill="background2" w:themeFillShade="E6"/>
            <w:textDirection w:val="btLr"/>
            <w:vAlign w:val="center"/>
          </w:tcPr>
          <w:p w:rsidR="006C09CC" w:rsidRPr="002063F3" w:rsidRDefault="006C09CC" w:rsidP="006C09CC">
            <w:pPr>
              <w:pStyle w:val="BodyText"/>
              <w:spacing w:before="40" w:after="20" w:line="240" w:lineRule="auto"/>
              <w:ind w:left="57" w:right="57"/>
              <w:jc w:val="left"/>
              <w:rPr>
                <w:rFonts w:ascii="Arial" w:hAnsi="Arial" w:cs="Arial"/>
                <w:sz w:val="16"/>
              </w:rPr>
            </w:pPr>
            <w:r w:rsidRPr="002063F3">
              <w:rPr>
                <w:rFonts w:ascii="Arial" w:hAnsi="Arial" w:cs="Arial"/>
                <w:sz w:val="16"/>
              </w:rPr>
              <w:t>Rate in increase in income before studying and  change in income on completing</w:t>
            </w:r>
          </w:p>
        </w:tc>
        <w:tc>
          <w:tcPr>
            <w:tcW w:w="952" w:type="dxa"/>
            <w:gridSpan w:val="2"/>
            <w:tcBorders>
              <w:top w:val="single" w:sz="4" w:space="0" w:color="auto"/>
              <w:bottom w:val="single" w:sz="4" w:space="0" w:color="auto"/>
            </w:tcBorders>
            <w:shd w:val="clear" w:color="auto" w:fill="DDD9C3" w:themeFill="background2" w:themeFillShade="E6"/>
            <w:textDirection w:val="btLr"/>
            <w:vAlign w:val="center"/>
          </w:tcPr>
          <w:p w:rsidR="006C09CC" w:rsidRPr="002063F3" w:rsidRDefault="006C09CC" w:rsidP="006C09CC">
            <w:pPr>
              <w:pStyle w:val="BodyText"/>
              <w:spacing w:before="40" w:after="20" w:line="240" w:lineRule="auto"/>
              <w:ind w:left="57" w:right="57"/>
              <w:jc w:val="left"/>
              <w:rPr>
                <w:rFonts w:ascii="Arial" w:hAnsi="Arial" w:cs="Arial"/>
                <w:sz w:val="16"/>
              </w:rPr>
            </w:pPr>
            <w:r w:rsidRPr="002063F3">
              <w:rPr>
                <w:rFonts w:ascii="Arial" w:hAnsi="Arial" w:cs="Arial"/>
                <w:sz w:val="16"/>
              </w:rPr>
              <w:t xml:space="preserve">Rate of increase in income before studying and </w:t>
            </w:r>
            <w:r>
              <w:rPr>
                <w:rFonts w:ascii="Arial" w:hAnsi="Arial" w:cs="Arial"/>
                <w:sz w:val="16"/>
              </w:rPr>
              <w:t xml:space="preserve">the rate </w:t>
            </w:r>
            <w:r w:rsidRPr="002063F3">
              <w:rPr>
                <w:rFonts w:ascii="Arial" w:hAnsi="Arial" w:cs="Arial"/>
                <w:sz w:val="16"/>
              </w:rPr>
              <w:t>after completing</w:t>
            </w:r>
          </w:p>
        </w:tc>
        <w:tc>
          <w:tcPr>
            <w:tcW w:w="924" w:type="dxa"/>
            <w:gridSpan w:val="2"/>
            <w:tcBorders>
              <w:top w:val="single" w:sz="4" w:space="0" w:color="auto"/>
              <w:bottom w:val="single" w:sz="4" w:space="0" w:color="auto"/>
            </w:tcBorders>
            <w:shd w:val="clear" w:color="auto" w:fill="DDD9C3" w:themeFill="background2" w:themeFillShade="E6"/>
            <w:textDirection w:val="btLr"/>
            <w:vAlign w:val="center"/>
          </w:tcPr>
          <w:p w:rsidR="006C09CC" w:rsidRPr="002063F3" w:rsidRDefault="006C09CC" w:rsidP="00430D66">
            <w:pPr>
              <w:pStyle w:val="BodyText"/>
              <w:spacing w:before="40" w:after="20" w:line="240" w:lineRule="auto"/>
              <w:ind w:left="57" w:right="57"/>
              <w:jc w:val="left"/>
              <w:rPr>
                <w:rFonts w:ascii="Arial" w:hAnsi="Arial" w:cs="Arial"/>
                <w:sz w:val="16"/>
              </w:rPr>
            </w:pPr>
            <w:r>
              <w:rPr>
                <w:rFonts w:ascii="Arial" w:hAnsi="Arial" w:cs="Arial"/>
                <w:sz w:val="16"/>
              </w:rPr>
              <w:t xml:space="preserve">Change in </w:t>
            </w:r>
            <w:r w:rsidR="00430D66">
              <w:rPr>
                <w:rFonts w:ascii="Arial" w:hAnsi="Arial" w:cs="Arial"/>
                <w:sz w:val="16"/>
              </w:rPr>
              <w:t>i</w:t>
            </w:r>
            <w:r w:rsidRPr="002063F3">
              <w:rPr>
                <w:rFonts w:ascii="Arial" w:hAnsi="Arial" w:cs="Arial"/>
                <w:sz w:val="16"/>
              </w:rPr>
              <w:t xml:space="preserve">ncome on completing and rate of </w:t>
            </w:r>
            <w:r>
              <w:rPr>
                <w:rFonts w:ascii="Arial" w:hAnsi="Arial" w:cs="Arial"/>
                <w:sz w:val="16"/>
              </w:rPr>
              <w:t>increase</w:t>
            </w:r>
            <w:r w:rsidRPr="002063F3">
              <w:rPr>
                <w:rFonts w:ascii="Arial" w:hAnsi="Arial" w:cs="Arial"/>
                <w:sz w:val="16"/>
              </w:rPr>
              <w:t xml:space="preserve"> in income after completing</w:t>
            </w:r>
          </w:p>
        </w:tc>
      </w:tr>
      <w:tr w:rsidR="00B27F6D" w:rsidRPr="003B0CD1" w:rsidTr="00B27F6D">
        <w:tc>
          <w:tcPr>
            <w:tcW w:w="630" w:type="dxa"/>
            <w:tcBorders>
              <w:top w:val="single" w:sz="4" w:space="0" w:color="auto"/>
            </w:tcBorders>
          </w:tcPr>
          <w:p w:rsidR="006C09CC" w:rsidRPr="003B0CD1" w:rsidRDefault="006C09CC" w:rsidP="006C09CC">
            <w:pPr>
              <w:pStyle w:val="BodyText"/>
              <w:spacing w:before="40" w:after="20" w:line="240" w:lineRule="auto"/>
              <w:jc w:val="center"/>
              <w:rPr>
                <w:rFonts w:ascii="Arial" w:hAnsi="Arial" w:cs="Arial"/>
                <w:sz w:val="18"/>
              </w:rPr>
            </w:pPr>
            <w:r w:rsidRPr="003B0CD1">
              <w:rPr>
                <w:rFonts w:ascii="Arial" w:hAnsi="Arial" w:cs="Arial"/>
                <w:sz w:val="18"/>
              </w:rPr>
              <w:t>20</w:t>
            </w:r>
          </w:p>
        </w:tc>
        <w:tc>
          <w:tcPr>
            <w:tcW w:w="2428" w:type="dxa"/>
            <w:tcBorders>
              <w:top w:val="single" w:sz="4" w:space="0" w:color="auto"/>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levels 1 to 3</w:t>
            </w:r>
          </w:p>
        </w:tc>
        <w:tc>
          <w:tcPr>
            <w:tcW w:w="626" w:type="dxa"/>
            <w:tcBorders>
              <w:top w:val="single" w:sz="4" w:space="0" w:color="auto"/>
              <w:left w:val="single" w:sz="4" w:space="0" w:color="auto"/>
            </w:tcBorders>
          </w:tcPr>
          <w:p w:rsidR="006C09CC" w:rsidRPr="003B0CD1" w:rsidRDefault="006C09CC" w:rsidP="00B8411C">
            <w:pPr>
              <w:pStyle w:val="BodyText"/>
              <w:spacing w:before="40" w:after="20" w:line="240" w:lineRule="auto"/>
              <w:ind w:right="-68"/>
              <w:jc w:val="right"/>
              <w:rPr>
                <w:rFonts w:ascii="Arial" w:hAnsi="Arial" w:cs="Arial"/>
                <w:sz w:val="18"/>
              </w:rPr>
            </w:pPr>
            <w:r w:rsidRPr="003B0CD1">
              <w:rPr>
                <w:rFonts w:ascii="Arial" w:hAnsi="Arial" w:cs="Arial"/>
                <w:sz w:val="18"/>
              </w:rPr>
              <w:t>0.</w:t>
            </w:r>
            <w:r w:rsidR="00B8411C">
              <w:rPr>
                <w:rFonts w:ascii="Arial" w:hAnsi="Arial" w:cs="Arial"/>
                <w:sz w:val="18"/>
              </w:rPr>
              <w:t>09</w:t>
            </w:r>
          </w:p>
        </w:tc>
        <w:tc>
          <w:tcPr>
            <w:tcW w:w="350" w:type="dxa"/>
            <w:tcBorders>
              <w:top w:val="single" w:sz="4" w:space="0" w:color="auto"/>
            </w:tcBorders>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29</w:t>
            </w:r>
          </w:p>
        </w:tc>
        <w:tc>
          <w:tcPr>
            <w:tcW w:w="350"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22</w:t>
            </w:r>
          </w:p>
        </w:tc>
        <w:tc>
          <w:tcPr>
            <w:tcW w:w="335"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r w:rsidR="00631BA3">
              <w:rPr>
                <w:rFonts w:ascii="Arial" w:hAnsi="Arial" w:cs="Arial"/>
                <w:sz w:val="18"/>
              </w:rPr>
              <w:t>*</w:t>
            </w:r>
          </w:p>
        </w:tc>
        <w:tc>
          <w:tcPr>
            <w:tcW w:w="630"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16</w:t>
            </w:r>
          </w:p>
        </w:tc>
        <w:tc>
          <w:tcPr>
            <w:tcW w:w="336"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30"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62</w:t>
            </w:r>
          </w:p>
        </w:tc>
        <w:tc>
          <w:tcPr>
            <w:tcW w:w="322"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14</w:t>
            </w:r>
          </w:p>
        </w:tc>
        <w:tc>
          <w:tcPr>
            <w:tcW w:w="336" w:type="dxa"/>
            <w:tcBorders>
              <w:top w:val="single" w:sz="4" w:space="0" w:color="auto"/>
            </w:tcBorders>
          </w:tcPr>
          <w:p w:rsidR="006C09CC" w:rsidRPr="003B0CD1" w:rsidRDefault="00631BA3" w:rsidP="006C09CC">
            <w:pPr>
              <w:pStyle w:val="BodyText"/>
              <w:spacing w:before="40" w:after="20" w:line="240" w:lineRule="auto"/>
              <w:ind w:left="-108"/>
              <w:jc w:val="left"/>
              <w:rPr>
                <w:rFonts w:ascii="Arial" w:hAnsi="Arial" w:cs="Arial"/>
                <w:sz w:val="18"/>
              </w:rPr>
            </w:pPr>
            <w:r>
              <w:rPr>
                <w:rFonts w:ascii="Arial" w:hAnsi="Arial" w:cs="Arial"/>
                <w:sz w:val="18"/>
              </w:rPr>
              <w:t>**</w:t>
            </w:r>
          </w:p>
        </w:tc>
      </w:tr>
      <w:tr w:rsidR="00B27F6D" w:rsidRPr="003B0CD1" w:rsidTr="00B27F6D">
        <w:tc>
          <w:tcPr>
            <w:tcW w:w="630" w:type="dxa"/>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 4</w:t>
            </w:r>
          </w:p>
        </w:tc>
        <w:tc>
          <w:tcPr>
            <w:tcW w:w="626" w:type="dxa"/>
            <w:tcBorders>
              <w:left w:val="single" w:sz="4" w:space="0" w:color="auto"/>
            </w:tcBorders>
          </w:tcPr>
          <w:p w:rsidR="006C09CC" w:rsidRPr="003B0CD1" w:rsidRDefault="006C09CC" w:rsidP="00B8411C">
            <w:pPr>
              <w:pStyle w:val="BodyText"/>
              <w:spacing w:before="40" w:after="20" w:line="240" w:lineRule="auto"/>
              <w:ind w:right="-68"/>
              <w:jc w:val="right"/>
              <w:rPr>
                <w:rFonts w:ascii="Arial" w:hAnsi="Arial" w:cs="Arial"/>
                <w:sz w:val="18"/>
              </w:rPr>
            </w:pPr>
            <w:r w:rsidRPr="003B0CD1">
              <w:rPr>
                <w:rFonts w:ascii="Arial" w:hAnsi="Arial" w:cs="Arial"/>
                <w:sz w:val="18"/>
              </w:rPr>
              <w:t>0.</w:t>
            </w:r>
            <w:r w:rsidR="00B8411C">
              <w:rPr>
                <w:rFonts w:ascii="Arial" w:hAnsi="Arial" w:cs="Arial"/>
                <w:sz w:val="18"/>
              </w:rPr>
              <w:t>12</w:t>
            </w:r>
          </w:p>
        </w:tc>
        <w:tc>
          <w:tcPr>
            <w:tcW w:w="350" w:type="dxa"/>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28</w:t>
            </w:r>
          </w:p>
        </w:tc>
        <w:tc>
          <w:tcPr>
            <w:tcW w:w="350"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16</w:t>
            </w:r>
          </w:p>
        </w:tc>
        <w:tc>
          <w:tcPr>
            <w:tcW w:w="335"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19</w:t>
            </w:r>
          </w:p>
        </w:tc>
        <w:tc>
          <w:tcPr>
            <w:tcW w:w="336" w:type="dxa"/>
          </w:tcPr>
          <w:p w:rsidR="006C09CC" w:rsidRPr="003B0CD1" w:rsidRDefault="00631BA3" w:rsidP="00866B0D">
            <w:pPr>
              <w:pStyle w:val="BodyText"/>
              <w:spacing w:before="40" w:after="20" w:line="240" w:lineRule="auto"/>
              <w:ind w:left="-108"/>
              <w:jc w:val="left"/>
              <w:rPr>
                <w:rFonts w:ascii="Arial" w:hAnsi="Arial" w:cs="Arial"/>
                <w:sz w:val="18"/>
              </w:rPr>
            </w:pPr>
            <w:r>
              <w:rPr>
                <w:rFonts w:ascii="Arial" w:hAnsi="Arial" w:cs="Arial"/>
                <w:sz w:val="18"/>
              </w:rPr>
              <w:t>*</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-0.6</w:t>
            </w:r>
            <w:r w:rsidR="00B8411C">
              <w:rPr>
                <w:rFonts w:ascii="Arial" w:hAnsi="Arial" w:cs="Arial"/>
                <w:sz w:val="18"/>
              </w:rPr>
              <w:t>0</w:t>
            </w:r>
          </w:p>
        </w:tc>
        <w:tc>
          <w:tcPr>
            <w:tcW w:w="322"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09</w:t>
            </w:r>
          </w:p>
        </w:tc>
        <w:tc>
          <w:tcPr>
            <w:tcW w:w="336" w:type="dxa"/>
          </w:tcPr>
          <w:p w:rsidR="006C09CC" w:rsidRPr="003B0CD1" w:rsidRDefault="00631BA3" w:rsidP="006C09CC">
            <w:pPr>
              <w:pStyle w:val="BodyText"/>
              <w:spacing w:before="40" w:after="20" w:line="240" w:lineRule="auto"/>
              <w:ind w:left="-108"/>
              <w:jc w:val="left"/>
              <w:rPr>
                <w:rFonts w:ascii="Arial" w:hAnsi="Arial" w:cs="Arial"/>
                <w:sz w:val="18"/>
              </w:rPr>
            </w:pPr>
            <w:r>
              <w:rPr>
                <w:rFonts w:ascii="Arial" w:hAnsi="Arial" w:cs="Arial"/>
                <w:sz w:val="18"/>
              </w:rPr>
              <w:t>ns</w:t>
            </w:r>
          </w:p>
        </w:tc>
      </w:tr>
      <w:tr w:rsidR="00B27F6D" w:rsidRPr="003B0CD1" w:rsidTr="00B27F6D">
        <w:tc>
          <w:tcPr>
            <w:tcW w:w="630" w:type="dxa"/>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Diplomas</w:t>
            </w:r>
          </w:p>
        </w:tc>
        <w:tc>
          <w:tcPr>
            <w:tcW w:w="626" w:type="dxa"/>
            <w:tcBorders>
              <w:left w:val="single" w:sz="4" w:space="0" w:color="auto"/>
            </w:tcBorders>
          </w:tcPr>
          <w:p w:rsidR="006C09CC" w:rsidRPr="003B0CD1" w:rsidRDefault="006C09CC" w:rsidP="00B8411C">
            <w:pPr>
              <w:pStyle w:val="BodyText"/>
              <w:spacing w:before="40" w:after="20" w:line="240" w:lineRule="auto"/>
              <w:ind w:right="-68"/>
              <w:jc w:val="right"/>
              <w:rPr>
                <w:rFonts w:ascii="Arial" w:hAnsi="Arial" w:cs="Arial"/>
                <w:sz w:val="18"/>
              </w:rPr>
            </w:pPr>
            <w:r w:rsidRPr="003B0CD1">
              <w:rPr>
                <w:rFonts w:ascii="Arial" w:hAnsi="Arial" w:cs="Arial"/>
                <w:sz w:val="18"/>
              </w:rPr>
              <w:t>0.</w:t>
            </w:r>
            <w:r w:rsidR="00B8411C">
              <w:rPr>
                <w:rFonts w:ascii="Arial" w:hAnsi="Arial" w:cs="Arial"/>
                <w:sz w:val="18"/>
              </w:rPr>
              <w:t>13</w:t>
            </w:r>
          </w:p>
        </w:tc>
        <w:tc>
          <w:tcPr>
            <w:tcW w:w="350" w:type="dxa"/>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16</w:t>
            </w:r>
          </w:p>
        </w:tc>
        <w:tc>
          <w:tcPr>
            <w:tcW w:w="350"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r w:rsidR="009851FD">
              <w:rPr>
                <w:rFonts w:ascii="Arial" w:hAnsi="Arial" w:cs="Arial"/>
                <w:sz w:val="18"/>
              </w:rPr>
              <w:t>*</w:t>
            </w:r>
          </w:p>
        </w:tc>
        <w:tc>
          <w:tcPr>
            <w:tcW w:w="616"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-0.13</w:t>
            </w:r>
          </w:p>
        </w:tc>
        <w:tc>
          <w:tcPr>
            <w:tcW w:w="335" w:type="dxa"/>
          </w:tcPr>
          <w:p w:rsidR="006C09CC" w:rsidRPr="003B0CD1" w:rsidRDefault="00631BA3" w:rsidP="006C09CC">
            <w:pPr>
              <w:pStyle w:val="BodyText"/>
              <w:spacing w:before="40" w:after="20" w:line="240" w:lineRule="auto"/>
              <w:ind w:left="-108"/>
              <w:jc w:val="left"/>
              <w:rPr>
                <w:rFonts w:ascii="Arial" w:hAnsi="Arial" w:cs="Arial"/>
                <w:sz w:val="18"/>
              </w:rPr>
            </w:pPr>
            <w:r>
              <w:rPr>
                <w:rFonts w:ascii="Arial" w:hAnsi="Arial" w:cs="Arial"/>
                <w:sz w:val="18"/>
              </w:rPr>
              <w:t>**</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0.0</w:t>
            </w:r>
            <w:r w:rsidR="00B8411C">
              <w:rPr>
                <w:rFonts w:ascii="Arial" w:hAnsi="Arial" w:cs="Arial"/>
                <w:sz w:val="18"/>
              </w:rPr>
              <w:t>0</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-0.4</w:t>
            </w:r>
            <w:r w:rsidR="00B8411C">
              <w:rPr>
                <w:rFonts w:ascii="Arial" w:hAnsi="Arial" w:cs="Arial"/>
                <w:sz w:val="18"/>
              </w:rPr>
              <w:t>7</w:t>
            </w:r>
          </w:p>
        </w:tc>
        <w:tc>
          <w:tcPr>
            <w:tcW w:w="322"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-0.0</w:t>
            </w:r>
            <w:r w:rsidR="00B8411C">
              <w:rPr>
                <w:rFonts w:ascii="Arial" w:hAnsi="Arial" w:cs="Arial"/>
                <w:sz w:val="18"/>
              </w:rPr>
              <w:t>7</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r>
      <w:tr w:rsidR="00B27F6D" w:rsidRPr="003B0CD1" w:rsidTr="00B27F6D">
        <w:tc>
          <w:tcPr>
            <w:tcW w:w="630" w:type="dxa"/>
            <w:tcBorders>
              <w:bottom w:val="single" w:sz="4" w:space="0" w:color="auto"/>
            </w:tcBorders>
          </w:tcPr>
          <w:p w:rsidR="006C09CC" w:rsidRPr="003B0CD1" w:rsidRDefault="006C09CC" w:rsidP="006C09CC">
            <w:pPr>
              <w:pStyle w:val="BodyText"/>
              <w:spacing w:before="40" w:after="20" w:line="240" w:lineRule="auto"/>
              <w:rPr>
                <w:rFonts w:ascii="Arial" w:hAnsi="Arial" w:cs="Arial"/>
                <w:sz w:val="18"/>
              </w:rPr>
            </w:pPr>
          </w:p>
        </w:tc>
        <w:tc>
          <w:tcPr>
            <w:tcW w:w="2428" w:type="dxa"/>
            <w:tcBorders>
              <w:bottom w:val="single" w:sz="4" w:space="0" w:color="auto"/>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 xml:space="preserve">Bachelors </w:t>
            </w:r>
          </w:p>
        </w:tc>
        <w:tc>
          <w:tcPr>
            <w:tcW w:w="626" w:type="dxa"/>
            <w:tcBorders>
              <w:left w:val="single" w:sz="4" w:space="0" w:color="auto"/>
            </w:tcBorders>
          </w:tcPr>
          <w:p w:rsidR="006C09CC" w:rsidRPr="003B0CD1" w:rsidRDefault="006C09CC" w:rsidP="00B8411C">
            <w:pPr>
              <w:pStyle w:val="BodyText"/>
              <w:spacing w:before="40" w:after="20" w:line="240" w:lineRule="auto"/>
              <w:ind w:right="-68"/>
              <w:jc w:val="right"/>
              <w:rPr>
                <w:rFonts w:ascii="Arial" w:hAnsi="Arial" w:cs="Arial"/>
                <w:sz w:val="18"/>
              </w:rPr>
            </w:pPr>
            <w:r w:rsidRPr="003B0CD1">
              <w:rPr>
                <w:rFonts w:ascii="Arial" w:hAnsi="Arial" w:cs="Arial"/>
                <w:sz w:val="18"/>
              </w:rPr>
              <w:t>0.</w:t>
            </w:r>
            <w:r w:rsidR="00B8411C">
              <w:rPr>
                <w:rFonts w:ascii="Arial" w:hAnsi="Arial" w:cs="Arial"/>
                <w:sz w:val="18"/>
              </w:rPr>
              <w:t>12</w:t>
            </w:r>
          </w:p>
        </w:tc>
        <w:tc>
          <w:tcPr>
            <w:tcW w:w="350" w:type="dxa"/>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Pr>
          <w:p w:rsidR="006C09CC" w:rsidRPr="003B0CD1" w:rsidRDefault="00B8411C" w:rsidP="00B8411C">
            <w:pPr>
              <w:pStyle w:val="BodyText"/>
              <w:spacing w:before="40" w:after="20" w:line="240" w:lineRule="auto"/>
              <w:ind w:right="-66"/>
              <w:jc w:val="right"/>
              <w:rPr>
                <w:rFonts w:ascii="Arial" w:hAnsi="Arial" w:cs="Arial"/>
                <w:sz w:val="18"/>
              </w:rPr>
            </w:pPr>
            <w:r>
              <w:rPr>
                <w:rFonts w:ascii="Arial" w:hAnsi="Arial" w:cs="Arial"/>
                <w:sz w:val="18"/>
              </w:rPr>
              <w:t>-</w:t>
            </w:r>
            <w:r w:rsidR="006C09CC" w:rsidRPr="003B0CD1">
              <w:rPr>
                <w:rFonts w:ascii="Arial" w:hAnsi="Arial" w:cs="Arial"/>
                <w:sz w:val="18"/>
              </w:rPr>
              <w:t>0.</w:t>
            </w:r>
            <w:r>
              <w:rPr>
                <w:rFonts w:ascii="Arial" w:hAnsi="Arial" w:cs="Arial"/>
                <w:sz w:val="18"/>
              </w:rPr>
              <w:t>05</w:t>
            </w:r>
          </w:p>
        </w:tc>
        <w:tc>
          <w:tcPr>
            <w:tcW w:w="350" w:type="dxa"/>
          </w:tcPr>
          <w:p w:rsidR="006C09CC" w:rsidRPr="003B0CD1" w:rsidRDefault="00866B0D" w:rsidP="006C09CC">
            <w:pPr>
              <w:pStyle w:val="BodyText"/>
              <w:spacing w:before="40" w:after="20" w:line="240" w:lineRule="auto"/>
              <w:ind w:left="-108"/>
              <w:jc w:val="left"/>
              <w:rPr>
                <w:rFonts w:ascii="Arial" w:hAnsi="Arial" w:cs="Arial"/>
                <w:sz w:val="18"/>
              </w:rPr>
            </w:pPr>
            <w:r>
              <w:rPr>
                <w:rFonts w:ascii="Arial" w:hAnsi="Arial" w:cs="Arial"/>
                <w:sz w:val="18"/>
              </w:rPr>
              <w:t>ns</w:t>
            </w:r>
          </w:p>
        </w:tc>
        <w:tc>
          <w:tcPr>
            <w:tcW w:w="616"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-0.04</w:t>
            </w:r>
          </w:p>
        </w:tc>
        <w:tc>
          <w:tcPr>
            <w:tcW w:w="335"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01</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-0.39</w:t>
            </w:r>
          </w:p>
        </w:tc>
        <w:tc>
          <w:tcPr>
            <w:tcW w:w="322"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19</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r>
      <w:tr w:rsidR="00B27F6D" w:rsidRPr="003B0CD1" w:rsidTr="00B27F6D">
        <w:tc>
          <w:tcPr>
            <w:tcW w:w="630"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jc w:val="center"/>
              <w:rPr>
                <w:rFonts w:ascii="Arial" w:hAnsi="Arial" w:cs="Arial"/>
                <w:sz w:val="18"/>
              </w:rPr>
            </w:pPr>
            <w:r w:rsidRPr="003B0CD1">
              <w:rPr>
                <w:rFonts w:ascii="Arial" w:hAnsi="Arial" w:cs="Arial"/>
                <w:sz w:val="18"/>
              </w:rPr>
              <w:t>30</w:t>
            </w:r>
          </w:p>
        </w:tc>
        <w:tc>
          <w:tcPr>
            <w:tcW w:w="2428" w:type="dxa"/>
            <w:tcBorders>
              <w:top w:val="single" w:sz="4" w:space="0" w:color="auto"/>
              <w:righ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levels 1 to 3</w:t>
            </w:r>
          </w:p>
        </w:tc>
        <w:tc>
          <w:tcPr>
            <w:tcW w:w="626" w:type="dxa"/>
            <w:tcBorders>
              <w:top w:val="single" w:sz="4" w:space="0" w:color="auto"/>
              <w:lef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-0.17</w:t>
            </w:r>
          </w:p>
        </w:tc>
        <w:tc>
          <w:tcPr>
            <w:tcW w:w="350"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-0.40</w:t>
            </w:r>
          </w:p>
        </w:tc>
        <w:tc>
          <w:tcPr>
            <w:tcW w:w="350"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Borders>
              <w:top w:val="single" w:sz="4" w:space="0" w:color="auto"/>
            </w:tcBorders>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04</w:t>
            </w:r>
          </w:p>
        </w:tc>
        <w:tc>
          <w:tcPr>
            <w:tcW w:w="335"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-0.02</w:t>
            </w:r>
          </w:p>
        </w:tc>
        <w:tc>
          <w:tcPr>
            <w:tcW w:w="336"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-0.79</w:t>
            </w:r>
          </w:p>
        </w:tc>
        <w:tc>
          <w:tcPr>
            <w:tcW w:w="322"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0.22</w:t>
            </w:r>
          </w:p>
        </w:tc>
        <w:tc>
          <w:tcPr>
            <w:tcW w:w="336" w:type="dxa"/>
            <w:tcBorders>
              <w:top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r>
      <w:tr w:rsidR="00B27F6D" w:rsidRPr="003B0CD1" w:rsidTr="00B27F6D">
        <w:tc>
          <w:tcPr>
            <w:tcW w:w="630" w:type="dxa"/>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 4</w:t>
            </w:r>
          </w:p>
        </w:tc>
        <w:tc>
          <w:tcPr>
            <w:tcW w:w="626" w:type="dxa"/>
            <w:tcBorders>
              <w:lef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-0.17</w:t>
            </w:r>
          </w:p>
        </w:tc>
        <w:tc>
          <w:tcPr>
            <w:tcW w:w="350" w:type="dxa"/>
            <w:shd w:val="clear" w:color="auto" w:fill="DDD9C3" w:themeFill="background2" w:themeFillShade="E6"/>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-0.39</w:t>
            </w:r>
          </w:p>
        </w:tc>
        <w:tc>
          <w:tcPr>
            <w:tcW w:w="350"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04</w:t>
            </w:r>
          </w:p>
        </w:tc>
        <w:tc>
          <w:tcPr>
            <w:tcW w:w="335"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07</w:t>
            </w:r>
          </w:p>
        </w:tc>
        <w:tc>
          <w:tcPr>
            <w:tcW w:w="336"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79</w:t>
            </w:r>
          </w:p>
        </w:tc>
        <w:tc>
          <w:tcPr>
            <w:tcW w:w="322"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0.41</w:t>
            </w:r>
          </w:p>
        </w:tc>
        <w:tc>
          <w:tcPr>
            <w:tcW w:w="336"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r>
      <w:tr w:rsidR="00B27F6D" w:rsidRPr="003B0CD1" w:rsidTr="00B27F6D">
        <w:tc>
          <w:tcPr>
            <w:tcW w:w="630" w:type="dxa"/>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Diplomas</w:t>
            </w:r>
          </w:p>
        </w:tc>
        <w:tc>
          <w:tcPr>
            <w:tcW w:w="626" w:type="dxa"/>
            <w:tcBorders>
              <w:lef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-0.17</w:t>
            </w:r>
          </w:p>
        </w:tc>
        <w:tc>
          <w:tcPr>
            <w:tcW w:w="350" w:type="dxa"/>
            <w:shd w:val="clear" w:color="auto" w:fill="DDD9C3" w:themeFill="background2" w:themeFillShade="E6"/>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16</w:t>
            </w:r>
          </w:p>
        </w:tc>
        <w:tc>
          <w:tcPr>
            <w:tcW w:w="350" w:type="dxa"/>
            <w:shd w:val="clear" w:color="auto" w:fill="DDD9C3" w:themeFill="background2" w:themeFillShade="E6"/>
          </w:tcPr>
          <w:p w:rsidR="006C09CC" w:rsidRPr="003B0CD1" w:rsidRDefault="00866B0D" w:rsidP="006C09CC">
            <w:pPr>
              <w:pStyle w:val="BodyText"/>
              <w:spacing w:before="40" w:after="20" w:line="240" w:lineRule="auto"/>
              <w:ind w:left="-108"/>
              <w:jc w:val="left"/>
              <w:rPr>
                <w:rFonts w:ascii="Arial" w:hAnsi="Arial" w:cs="Arial"/>
                <w:sz w:val="18"/>
              </w:rPr>
            </w:pPr>
            <w:r>
              <w:rPr>
                <w:rFonts w:ascii="Arial" w:hAnsi="Arial" w:cs="Arial"/>
                <w:sz w:val="18"/>
              </w:rPr>
              <w:t>ns</w:t>
            </w:r>
          </w:p>
        </w:tc>
        <w:tc>
          <w:tcPr>
            <w:tcW w:w="616"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0.06</w:t>
            </w:r>
          </w:p>
        </w:tc>
        <w:tc>
          <w:tcPr>
            <w:tcW w:w="335"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07</w:t>
            </w:r>
          </w:p>
        </w:tc>
        <w:tc>
          <w:tcPr>
            <w:tcW w:w="336"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64</w:t>
            </w:r>
          </w:p>
        </w:tc>
        <w:tc>
          <w:tcPr>
            <w:tcW w:w="322"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-0.02</w:t>
            </w:r>
          </w:p>
        </w:tc>
        <w:tc>
          <w:tcPr>
            <w:tcW w:w="336"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r>
      <w:tr w:rsidR="00B27F6D" w:rsidRPr="003B0CD1" w:rsidTr="00B27F6D">
        <w:tc>
          <w:tcPr>
            <w:tcW w:w="630" w:type="dxa"/>
            <w:tcBorders>
              <w:bottom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p>
        </w:tc>
        <w:tc>
          <w:tcPr>
            <w:tcW w:w="2428" w:type="dxa"/>
            <w:tcBorders>
              <w:bottom w:val="single" w:sz="4" w:space="0" w:color="auto"/>
              <w:righ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 xml:space="preserve">Bachelors </w:t>
            </w:r>
          </w:p>
        </w:tc>
        <w:tc>
          <w:tcPr>
            <w:tcW w:w="626" w:type="dxa"/>
            <w:tcBorders>
              <w:left w:val="single" w:sz="4" w:space="0" w:color="auto"/>
            </w:tcBorders>
            <w:shd w:val="clear" w:color="auto" w:fill="DDD9C3" w:themeFill="background2" w:themeFillShade="E6"/>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-0.16</w:t>
            </w:r>
          </w:p>
        </w:tc>
        <w:tc>
          <w:tcPr>
            <w:tcW w:w="350" w:type="dxa"/>
            <w:shd w:val="clear" w:color="auto" w:fill="DDD9C3" w:themeFill="background2" w:themeFillShade="E6"/>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06</w:t>
            </w:r>
          </w:p>
        </w:tc>
        <w:tc>
          <w:tcPr>
            <w:tcW w:w="350" w:type="dxa"/>
            <w:shd w:val="clear" w:color="auto" w:fill="DDD9C3" w:themeFill="background2" w:themeFillShade="E6"/>
          </w:tcPr>
          <w:p w:rsidR="006C09CC" w:rsidRPr="003B0CD1" w:rsidRDefault="0017636B" w:rsidP="006C09CC">
            <w:pPr>
              <w:pStyle w:val="BodyText"/>
              <w:spacing w:before="40" w:after="20" w:line="240" w:lineRule="auto"/>
              <w:ind w:left="-108"/>
              <w:jc w:val="left"/>
              <w:rPr>
                <w:rFonts w:ascii="Arial" w:hAnsi="Arial" w:cs="Arial"/>
                <w:sz w:val="18"/>
              </w:rPr>
            </w:pPr>
            <w:r>
              <w:rPr>
                <w:rFonts w:ascii="Arial" w:hAnsi="Arial" w:cs="Arial"/>
                <w:sz w:val="18"/>
              </w:rPr>
              <w:t>ns</w:t>
            </w:r>
          </w:p>
        </w:tc>
        <w:tc>
          <w:tcPr>
            <w:tcW w:w="616"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-0.05</w:t>
            </w:r>
          </w:p>
        </w:tc>
        <w:tc>
          <w:tcPr>
            <w:tcW w:w="335"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32</w:t>
            </w:r>
          </w:p>
        </w:tc>
        <w:tc>
          <w:tcPr>
            <w:tcW w:w="336"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30" w:type="dxa"/>
            <w:shd w:val="clear" w:color="auto" w:fill="DDD9C3" w:themeFill="background2" w:themeFillShade="E6"/>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61</w:t>
            </w:r>
          </w:p>
        </w:tc>
        <w:tc>
          <w:tcPr>
            <w:tcW w:w="322" w:type="dxa"/>
            <w:shd w:val="clear" w:color="auto" w:fill="DDD9C3" w:themeFill="background2" w:themeFillShade="E6"/>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shd w:val="clear" w:color="auto" w:fill="DDD9C3" w:themeFill="background2" w:themeFillShade="E6"/>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0.16</w:t>
            </w:r>
          </w:p>
        </w:tc>
        <w:tc>
          <w:tcPr>
            <w:tcW w:w="336" w:type="dxa"/>
            <w:shd w:val="clear" w:color="auto" w:fill="DDD9C3" w:themeFill="background2" w:themeFillShade="E6"/>
          </w:tcPr>
          <w:p w:rsidR="006C09CC" w:rsidRPr="003B0CD1" w:rsidRDefault="00645F13" w:rsidP="006C09CC">
            <w:pPr>
              <w:pStyle w:val="BodyText"/>
              <w:spacing w:before="40" w:after="20" w:line="240" w:lineRule="auto"/>
              <w:ind w:left="-108"/>
              <w:jc w:val="left"/>
              <w:rPr>
                <w:rFonts w:ascii="Arial" w:hAnsi="Arial" w:cs="Arial"/>
                <w:sz w:val="18"/>
              </w:rPr>
            </w:pPr>
            <w:r>
              <w:rPr>
                <w:rFonts w:ascii="Arial" w:hAnsi="Arial" w:cs="Arial"/>
                <w:sz w:val="18"/>
              </w:rPr>
              <w:t>*</w:t>
            </w:r>
          </w:p>
        </w:tc>
      </w:tr>
      <w:tr w:rsidR="00B27F6D" w:rsidRPr="003B0CD1" w:rsidTr="00B27F6D">
        <w:tc>
          <w:tcPr>
            <w:tcW w:w="630" w:type="dxa"/>
            <w:tcBorders>
              <w:top w:val="single" w:sz="4" w:space="0" w:color="auto"/>
            </w:tcBorders>
          </w:tcPr>
          <w:p w:rsidR="006C09CC" w:rsidRPr="003B0CD1" w:rsidRDefault="006C09CC" w:rsidP="006C09CC">
            <w:pPr>
              <w:pStyle w:val="BodyText"/>
              <w:spacing w:before="40" w:after="20" w:line="240" w:lineRule="auto"/>
              <w:jc w:val="center"/>
              <w:rPr>
                <w:rFonts w:ascii="Arial" w:hAnsi="Arial" w:cs="Arial"/>
                <w:sz w:val="18"/>
              </w:rPr>
            </w:pPr>
            <w:r w:rsidRPr="003B0CD1">
              <w:rPr>
                <w:rFonts w:ascii="Arial" w:hAnsi="Arial" w:cs="Arial"/>
                <w:sz w:val="18"/>
              </w:rPr>
              <w:t>40</w:t>
            </w:r>
          </w:p>
        </w:tc>
        <w:tc>
          <w:tcPr>
            <w:tcW w:w="2428" w:type="dxa"/>
            <w:tcBorders>
              <w:top w:val="single" w:sz="4" w:space="0" w:color="auto"/>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levels 1 to 3</w:t>
            </w:r>
          </w:p>
        </w:tc>
        <w:tc>
          <w:tcPr>
            <w:tcW w:w="626" w:type="dxa"/>
            <w:tcBorders>
              <w:top w:val="single" w:sz="4" w:space="0" w:color="auto"/>
              <w:left w:val="single" w:sz="4" w:space="0" w:color="auto"/>
            </w:tcBorders>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-0.14</w:t>
            </w:r>
          </w:p>
        </w:tc>
        <w:tc>
          <w:tcPr>
            <w:tcW w:w="350" w:type="dxa"/>
            <w:tcBorders>
              <w:top w:val="single" w:sz="4" w:space="0" w:color="auto"/>
            </w:tcBorders>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Borders>
              <w:top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-0.32</w:t>
            </w:r>
          </w:p>
        </w:tc>
        <w:tc>
          <w:tcPr>
            <w:tcW w:w="350"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Borders>
              <w:top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0.02</w:t>
            </w:r>
          </w:p>
        </w:tc>
        <w:tc>
          <w:tcPr>
            <w:tcW w:w="335"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Borders>
              <w:top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-0.13</w:t>
            </w:r>
          </w:p>
        </w:tc>
        <w:tc>
          <w:tcPr>
            <w:tcW w:w="336" w:type="dxa"/>
            <w:tcBorders>
              <w:top w:val="single" w:sz="4" w:space="0" w:color="auto"/>
            </w:tcBorders>
          </w:tcPr>
          <w:p w:rsidR="006C09CC" w:rsidRPr="003B0CD1" w:rsidRDefault="00866B0D" w:rsidP="006C09CC">
            <w:pPr>
              <w:pStyle w:val="BodyText"/>
              <w:spacing w:before="40" w:after="20" w:line="240" w:lineRule="auto"/>
              <w:ind w:left="-108"/>
              <w:jc w:val="left"/>
              <w:rPr>
                <w:rFonts w:ascii="Arial" w:hAnsi="Arial" w:cs="Arial"/>
                <w:sz w:val="18"/>
              </w:rPr>
            </w:pPr>
            <w:r>
              <w:rPr>
                <w:rFonts w:ascii="Arial" w:hAnsi="Arial" w:cs="Arial"/>
                <w:sz w:val="18"/>
              </w:rPr>
              <w:t>ns</w:t>
            </w:r>
          </w:p>
        </w:tc>
        <w:tc>
          <w:tcPr>
            <w:tcW w:w="630" w:type="dxa"/>
            <w:tcBorders>
              <w:top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-0.7</w:t>
            </w:r>
            <w:r w:rsidR="00B8411C">
              <w:rPr>
                <w:rFonts w:ascii="Arial" w:hAnsi="Arial" w:cs="Arial"/>
                <w:sz w:val="18"/>
              </w:rPr>
              <w:t>0</w:t>
            </w:r>
          </w:p>
        </w:tc>
        <w:tc>
          <w:tcPr>
            <w:tcW w:w="322" w:type="dxa"/>
            <w:tcBorders>
              <w:top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Borders>
              <w:top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09</w:t>
            </w:r>
          </w:p>
        </w:tc>
        <w:tc>
          <w:tcPr>
            <w:tcW w:w="336" w:type="dxa"/>
            <w:tcBorders>
              <w:top w:val="single" w:sz="4" w:space="0" w:color="auto"/>
            </w:tcBorders>
          </w:tcPr>
          <w:p w:rsidR="006C09CC" w:rsidRPr="003B0CD1" w:rsidRDefault="009851FD" w:rsidP="006C09CC">
            <w:pPr>
              <w:pStyle w:val="BodyText"/>
              <w:spacing w:before="40" w:after="20" w:line="240" w:lineRule="auto"/>
              <w:ind w:left="-108"/>
              <w:jc w:val="left"/>
              <w:rPr>
                <w:rFonts w:ascii="Arial" w:hAnsi="Arial" w:cs="Arial"/>
                <w:sz w:val="18"/>
              </w:rPr>
            </w:pPr>
            <w:r>
              <w:rPr>
                <w:rFonts w:ascii="Arial" w:hAnsi="Arial" w:cs="Arial"/>
                <w:sz w:val="18"/>
              </w:rPr>
              <w:t>ns</w:t>
            </w:r>
          </w:p>
        </w:tc>
      </w:tr>
      <w:tr w:rsidR="00B27F6D" w:rsidRPr="003B0CD1" w:rsidTr="00B27F6D">
        <w:tc>
          <w:tcPr>
            <w:tcW w:w="630" w:type="dxa"/>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Certificates at level 4</w:t>
            </w:r>
          </w:p>
        </w:tc>
        <w:tc>
          <w:tcPr>
            <w:tcW w:w="626" w:type="dxa"/>
            <w:tcBorders>
              <w:left w:val="single" w:sz="4" w:space="0" w:color="auto"/>
            </w:tcBorders>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-0.14</w:t>
            </w:r>
          </w:p>
        </w:tc>
        <w:tc>
          <w:tcPr>
            <w:tcW w:w="350" w:type="dxa"/>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-0.32</w:t>
            </w:r>
          </w:p>
        </w:tc>
        <w:tc>
          <w:tcPr>
            <w:tcW w:w="350"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-0.04</w:t>
            </w:r>
          </w:p>
        </w:tc>
        <w:tc>
          <w:tcPr>
            <w:tcW w:w="335"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14</w:t>
            </w:r>
          </w:p>
        </w:tc>
        <w:tc>
          <w:tcPr>
            <w:tcW w:w="336" w:type="dxa"/>
          </w:tcPr>
          <w:p w:rsidR="006C09CC" w:rsidRPr="003B0CD1" w:rsidRDefault="009851FD" w:rsidP="006C09CC">
            <w:pPr>
              <w:pStyle w:val="BodyText"/>
              <w:spacing w:before="40" w:after="20" w:line="240" w:lineRule="auto"/>
              <w:ind w:left="-108"/>
              <w:jc w:val="left"/>
              <w:rPr>
                <w:rFonts w:ascii="Arial" w:hAnsi="Arial" w:cs="Arial"/>
                <w:sz w:val="18"/>
              </w:rPr>
            </w:pPr>
            <w:r>
              <w:rPr>
                <w:rFonts w:ascii="Arial" w:hAnsi="Arial" w:cs="Arial"/>
                <w:sz w:val="18"/>
              </w:rPr>
              <w:t>ns</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-0.6</w:t>
            </w:r>
            <w:r w:rsidR="00B8411C">
              <w:rPr>
                <w:rFonts w:ascii="Arial" w:hAnsi="Arial" w:cs="Arial"/>
                <w:sz w:val="18"/>
              </w:rPr>
              <w:t>7</w:t>
            </w:r>
          </w:p>
        </w:tc>
        <w:tc>
          <w:tcPr>
            <w:tcW w:w="322"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0.12</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r>
      <w:tr w:rsidR="00B27F6D" w:rsidRPr="003B0CD1" w:rsidTr="00B27F6D">
        <w:tc>
          <w:tcPr>
            <w:tcW w:w="630" w:type="dxa"/>
          </w:tcPr>
          <w:p w:rsidR="006C09CC" w:rsidRPr="003B0CD1" w:rsidRDefault="006C09CC" w:rsidP="006C09CC">
            <w:pPr>
              <w:pStyle w:val="BodyText"/>
              <w:spacing w:before="40" w:after="20" w:line="240" w:lineRule="auto"/>
              <w:rPr>
                <w:rFonts w:ascii="Arial" w:hAnsi="Arial" w:cs="Arial"/>
                <w:sz w:val="18"/>
              </w:rPr>
            </w:pPr>
          </w:p>
        </w:tc>
        <w:tc>
          <w:tcPr>
            <w:tcW w:w="2428" w:type="dxa"/>
            <w:tcBorders>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Diplomas</w:t>
            </w:r>
          </w:p>
        </w:tc>
        <w:tc>
          <w:tcPr>
            <w:tcW w:w="626" w:type="dxa"/>
            <w:tcBorders>
              <w:left w:val="single" w:sz="4" w:space="0" w:color="auto"/>
            </w:tcBorders>
          </w:tcPr>
          <w:p w:rsidR="006C09CC" w:rsidRPr="003B0CD1" w:rsidRDefault="006C09CC" w:rsidP="00B8411C">
            <w:pPr>
              <w:pStyle w:val="BodyText"/>
              <w:spacing w:before="40" w:after="20" w:line="240" w:lineRule="auto"/>
              <w:ind w:right="-68"/>
              <w:jc w:val="right"/>
              <w:rPr>
                <w:rFonts w:ascii="Arial" w:hAnsi="Arial" w:cs="Arial"/>
                <w:sz w:val="18"/>
              </w:rPr>
            </w:pPr>
            <w:r w:rsidRPr="003B0CD1">
              <w:rPr>
                <w:rFonts w:ascii="Arial" w:hAnsi="Arial" w:cs="Arial"/>
                <w:sz w:val="18"/>
              </w:rPr>
              <w:t>-0.</w:t>
            </w:r>
            <w:r w:rsidR="00B8411C">
              <w:rPr>
                <w:rFonts w:ascii="Arial" w:hAnsi="Arial" w:cs="Arial"/>
                <w:sz w:val="18"/>
              </w:rPr>
              <w:t>15</w:t>
            </w:r>
          </w:p>
        </w:tc>
        <w:tc>
          <w:tcPr>
            <w:tcW w:w="350" w:type="dxa"/>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-0.20</w:t>
            </w:r>
          </w:p>
        </w:tc>
        <w:tc>
          <w:tcPr>
            <w:tcW w:w="350"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16"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-0.15</w:t>
            </w:r>
          </w:p>
        </w:tc>
        <w:tc>
          <w:tcPr>
            <w:tcW w:w="335"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30"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05</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-0.63</w:t>
            </w:r>
          </w:p>
        </w:tc>
        <w:tc>
          <w:tcPr>
            <w:tcW w:w="322"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0.2</w:t>
            </w:r>
            <w:r w:rsidR="00B8411C">
              <w:rPr>
                <w:rFonts w:ascii="Arial" w:hAnsi="Arial" w:cs="Arial"/>
                <w:sz w:val="18"/>
              </w:rPr>
              <w:t>8</w:t>
            </w:r>
          </w:p>
        </w:tc>
        <w:tc>
          <w:tcPr>
            <w:tcW w:w="336" w:type="dxa"/>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r>
      <w:tr w:rsidR="00B27F6D" w:rsidRPr="003B0CD1" w:rsidTr="00653F20">
        <w:tc>
          <w:tcPr>
            <w:tcW w:w="630" w:type="dxa"/>
            <w:tcBorders>
              <w:bottom w:val="single" w:sz="4" w:space="0" w:color="auto"/>
            </w:tcBorders>
          </w:tcPr>
          <w:p w:rsidR="006C09CC" w:rsidRPr="003B0CD1" w:rsidRDefault="006C09CC" w:rsidP="006C09CC">
            <w:pPr>
              <w:pStyle w:val="BodyText"/>
              <w:spacing w:before="40" w:after="20" w:line="240" w:lineRule="auto"/>
              <w:rPr>
                <w:rFonts w:ascii="Arial" w:hAnsi="Arial" w:cs="Arial"/>
                <w:sz w:val="18"/>
              </w:rPr>
            </w:pPr>
          </w:p>
        </w:tc>
        <w:tc>
          <w:tcPr>
            <w:tcW w:w="2428" w:type="dxa"/>
            <w:tcBorders>
              <w:bottom w:val="single" w:sz="4" w:space="0" w:color="auto"/>
              <w:right w:val="single" w:sz="4" w:space="0" w:color="auto"/>
            </w:tcBorders>
          </w:tcPr>
          <w:p w:rsidR="006C09CC" w:rsidRPr="003B0CD1" w:rsidRDefault="006C09CC" w:rsidP="006C09CC">
            <w:pPr>
              <w:pStyle w:val="BodyText"/>
              <w:spacing w:before="40" w:after="20" w:line="240" w:lineRule="auto"/>
              <w:rPr>
                <w:rFonts w:ascii="Arial" w:hAnsi="Arial" w:cs="Arial"/>
                <w:sz w:val="18"/>
              </w:rPr>
            </w:pPr>
            <w:r w:rsidRPr="003B0CD1">
              <w:rPr>
                <w:rFonts w:ascii="Arial" w:hAnsi="Arial" w:cs="Arial"/>
                <w:sz w:val="18"/>
              </w:rPr>
              <w:t xml:space="preserve">Bachelors </w:t>
            </w:r>
          </w:p>
        </w:tc>
        <w:tc>
          <w:tcPr>
            <w:tcW w:w="626" w:type="dxa"/>
            <w:tcBorders>
              <w:left w:val="single" w:sz="4" w:space="0" w:color="auto"/>
              <w:bottom w:val="single" w:sz="4" w:space="0" w:color="auto"/>
            </w:tcBorders>
          </w:tcPr>
          <w:p w:rsidR="006C09CC" w:rsidRPr="003B0CD1" w:rsidRDefault="006C09CC" w:rsidP="006C09CC">
            <w:pPr>
              <w:pStyle w:val="BodyText"/>
              <w:spacing w:before="40" w:after="20" w:line="240" w:lineRule="auto"/>
              <w:ind w:right="-68"/>
              <w:jc w:val="right"/>
              <w:rPr>
                <w:rFonts w:ascii="Arial" w:hAnsi="Arial" w:cs="Arial"/>
                <w:sz w:val="18"/>
              </w:rPr>
            </w:pPr>
            <w:r w:rsidRPr="003B0CD1">
              <w:rPr>
                <w:rFonts w:ascii="Arial" w:hAnsi="Arial" w:cs="Arial"/>
                <w:sz w:val="18"/>
              </w:rPr>
              <w:t>-0.15</w:t>
            </w:r>
          </w:p>
        </w:tc>
        <w:tc>
          <w:tcPr>
            <w:tcW w:w="350" w:type="dxa"/>
            <w:tcBorders>
              <w:bottom w:val="single" w:sz="4" w:space="0" w:color="auto"/>
            </w:tcBorders>
          </w:tcPr>
          <w:p w:rsidR="006C09CC" w:rsidRPr="003B0CD1" w:rsidRDefault="006C09CC" w:rsidP="006C09CC">
            <w:pPr>
              <w:pStyle w:val="BodyText"/>
              <w:spacing w:before="40" w:after="20" w:line="240" w:lineRule="auto"/>
              <w:ind w:left="-106"/>
              <w:jc w:val="left"/>
              <w:rPr>
                <w:rFonts w:ascii="Arial" w:hAnsi="Arial" w:cs="Arial"/>
                <w:sz w:val="18"/>
              </w:rPr>
            </w:pPr>
            <w:r w:rsidRPr="003B0CD1">
              <w:rPr>
                <w:rFonts w:ascii="Arial" w:hAnsi="Arial" w:cs="Arial"/>
                <w:sz w:val="18"/>
              </w:rPr>
              <w:t>***</w:t>
            </w:r>
          </w:p>
        </w:tc>
        <w:tc>
          <w:tcPr>
            <w:tcW w:w="602" w:type="dxa"/>
            <w:tcBorders>
              <w:bottom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-0.07</w:t>
            </w:r>
          </w:p>
        </w:tc>
        <w:tc>
          <w:tcPr>
            <w:tcW w:w="350" w:type="dxa"/>
            <w:tcBorders>
              <w:bottom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16" w:type="dxa"/>
            <w:tcBorders>
              <w:bottom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w:t>
            </w:r>
            <w:r w:rsidR="00B8411C">
              <w:rPr>
                <w:rFonts w:ascii="Arial" w:hAnsi="Arial" w:cs="Arial"/>
                <w:sz w:val="18"/>
              </w:rPr>
              <w:t>05</w:t>
            </w:r>
          </w:p>
        </w:tc>
        <w:tc>
          <w:tcPr>
            <w:tcW w:w="335" w:type="dxa"/>
            <w:tcBorders>
              <w:bottom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ns</w:t>
            </w:r>
          </w:p>
        </w:tc>
        <w:tc>
          <w:tcPr>
            <w:tcW w:w="630" w:type="dxa"/>
            <w:tcBorders>
              <w:bottom w:val="single" w:sz="4" w:space="0" w:color="auto"/>
            </w:tcBorders>
          </w:tcPr>
          <w:p w:rsidR="006C09CC" w:rsidRPr="003B0CD1" w:rsidRDefault="006C09CC" w:rsidP="00B8411C">
            <w:pPr>
              <w:pStyle w:val="BodyText"/>
              <w:spacing w:before="40" w:after="20" w:line="240" w:lineRule="auto"/>
              <w:ind w:right="-66"/>
              <w:jc w:val="right"/>
              <w:rPr>
                <w:rFonts w:ascii="Arial" w:hAnsi="Arial" w:cs="Arial"/>
                <w:sz w:val="18"/>
              </w:rPr>
            </w:pPr>
            <w:r w:rsidRPr="003B0CD1">
              <w:rPr>
                <w:rFonts w:ascii="Arial" w:hAnsi="Arial" w:cs="Arial"/>
                <w:sz w:val="18"/>
              </w:rPr>
              <w:t>-0.2</w:t>
            </w:r>
            <w:r w:rsidR="00B8411C">
              <w:rPr>
                <w:rFonts w:ascii="Arial" w:hAnsi="Arial" w:cs="Arial"/>
                <w:sz w:val="18"/>
              </w:rPr>
              <w:t>6</w:t>
            </w:r>
          </w:p>
        </w:tc>
        <w:tc>
          <w:tcPr>
            <w:tcW w:w="336" w:type="dxa"/>
            <w:tcBorders>
              <w:bottom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630" w:type="dxa"/>
            <w:tcBorders>
              <w:bottom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-0.65</w:t>
            </w:r>
          </w:p>
        </w:tc>
        <w:tc>
          <w:tcPr>
            <w:tcW w:w="322" w:type="dxa"/>
            <w:tcBorders>
              <w:bottom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p>
        </w:tc>
        <w:tc>
          <w:tcPr>
            <w:tcW w:w="588" w:type="dxa"/>
            <w:tcBorders>
              <w:bottom w:val="single" w:sz="4" w:space="0" w:color="auto"/>
            </w:tcBorders>
          </w:tcPr>
          <w:p w:rsidR="006C09CC" w:rsidRPr="003B0CD1" w:rsidRDefault="006C09CC" w:rsidP="006C09CC">
            <w:pPr>
              <w:pStyle w:val="BodyText"/>
              <w:spacing w:before="40" w:after="20" w:line="240" w:lineRule="auto"/>
              <w:ind w:right="-66"/>
              <w:jc w:val="right"/>
              <w:rPr>
                <w:rFonts w:ascii="Arial" w:hAnsi="Arial" w:cs="Arial"/>
                <w:sz w:val="18"/>
              </w:rPr>
            </w:pPr>
            <w:r w:rsidRPr="003B0CD1">
              <w:rPr>
                <w:rFonts w:ascii="Arial" w:hAnsi="Arial" w:cs="Arial"/>
                <w:sz w:val="18"/>
              </w:rPr>
              <w:t>0.18</w:t>
            </w:r>
          </w:p>
        </w:tc>
        <w:tc>
          <w:tcPr>
            <w:tcW w:w="336" w:type="dxa"/>
            <w:tcBorders>
              <w:bottom w:val="single" w:sz="4" w:space="0" w:color="auto"/>
            </w:tcBorders>
          </w:tcPr>
          <w:p w:rsidR="006C09CC" w:rsidRPr="003B0CD1" w:rsidRDefault="006C09CC" w:rsidP="006C09CC">
            <w:pPr>
              <w:pStyle w:val="BodyText"/>
              <w:spacing w:before="40" w:after="20" w:line="240" w:lineRule="auto"/>
              <w:ind w:left="-108"/>
              <w:jc w:val="left"/>
              <w:rPr>
                <w:rFonts w:ascii="Arial" w:hAnsi="Arial" w:cs="Arial"/>
                <w:sz w:val="18"/>
              </w:rPr>
            </w:pPr>
            <w:r w:rsidRPr="003B0CD1">
              <w:rPr>
                <w:rFonts w:ascii="Arial" w:hAnsi="Arial" w:cs="Arial"/>
                <w:sz w:val="18"/>
              </w:rPr>
              <w:t>**</w:t>
            </w:r>
            <w:r w:rsidR="009851FD">
              <w:rPr>
                <w:rFonts w:ascii="Arial" w:hAnsi="Arial" w:cs="Arial"/>
                <w:sz w:val="18"/>
              </w:rPr>
              <w:t>*</w:t>
            </w:r>
          </w:p>
        </w:tc>
      </w:tr>
    </w:tbl>
    <w:p w:rsidR="004D2C0C" w:rsidRPr="004D2C0C" w:rsidRDefault="006C09CC" w:rsidP="004D2C0C">
      <w:pPr>
        <w:spacing w:before="120" w:after="240"/>
        <w:rPr>
          <w:rFonts w:ascii="Arial" w:hAnsi="Arial" w:cs="Arial"/>
          <w:sz w:val="16"/>
          <w:szCs w:val="16"/>
        </w:rPr>
      </w:pPr>
      <w:r w:rsidRPr="00DD7EBF">
        <w:rPr>
          <w:rFonts w:ascii="Arial" w:hAnsi="Arial" w:cs="Arial"/>
          <w:sz w:val="16"/>
        </w:rPr>
        <w:t xml:space="preserve">The probability (p) that a given </w:t>
      </w:r>
      <w:r w:rsidR="00CD4862">
        <w:rPr>
          <w:rFonts w:ascii="Arial" w:hAnsi="Arial" w:cs="Arial"/>
          <w:sz w:val="16"/>
          <w:szCs w:val="16"/>
        </w:rPr>
        <w:t xml:space="preserve">value </w:t>
      </w:r>
      <w:r w:rsidRPr="00DD7EBF">
        <w:rPr>
          <w:rFonts w:ascii="Arial" w:hAnsi="Arial" w:cs="Arial"/>
          <w:sz w:val="16"/>
        </w:rPr>
        <w:t>is zero is indicated by: *** p&lt;0.001; ** p&lt;0.01; * p&lt;0.05; ns – not significantly different from zero.</w:t>
      </w:r>
      <w:r w:rsidR="00EA7C40" w:rsidRPr="00DD7EBF">
        <w:rPr>
          <w:rFonts w:ascii="Arial" w:hAnsi="Arial" w:cs="Arial"/>
          <w:sz w:val="16"/>
        </w:rPr>
        <w:t xml:space="preserve"> Confidence indicators are based on bootstrapped standard errors and confidence intervals</w:t>
      </w:r>
      <w:r w:rsidR="00411C86">
        <w:rPr>
          <w:rFonts w:ascii="Arial" w:hAnsi="Arial" w:cs="Arial"/>
          <w:sz w:val="16"/>
        </w:rPr>
        <w:t xml:space="preserve"> using 500 iterations</w:t>
      </w:r>
      <w:r w:rsidR="008A4D5C">
        <w:rPr>
          <w:rFonts w:ascii="Arial" w:hAnsi="Arial" w:cs="Arial"/>
          <w:sz w:val="16"/>
        </w:rPr>
        <w:t xml:space="preserve"> for each of the </w:t>
      </w:r>
      <w:r w:rsidR="00E93C57">
        <w:rPr>
          <w:rFonts w:ascii="Arial" w:hAnsi="Arial" w:cs="Arial"/>
          <w:sz w:val="16"/>
        </w:rPr>
        <w:t>12</w:t>
      </w:r>
      <w:r w:rsidR="008A4D5C">
        <w:rPr>
          <w:rFonts w:ascii="Arial" w:hAnsi="Arial" w:cs="Arial"/>
          <w:sz w:val="16"/>
        </w:rPr>
        <w:t xml:space="preserve"> regression results</w:t>
      </w:r>
      <w:r w:rsidR="00E93C57">
        <w:rPr>
          <w:rFonts w:ascii="Arial" w:hAnsi="Arial" w:cs="Arial"/>
          <w:sz w:val="16"/>
        </w:rPr>
        <w:t xml:space="preserve"> shown</w:t>
      </w:r>
      <w:r w:rsidR="008A4D5C">
        <w:rPr>
          <w:rFonts w:ascii="Arial" w:hAnsi="Arial" w:cs="Arial"/>
          <w:sz w:val="16"/>
        </w:rPr>
        <w:t xml:space="preserve"> </w:t>
      </w:r>
      <w:r w:rsidR="00E93C57">
        <w:rPr>
          <w:rFonts w:ascii="Arial" w:hAnsi="Arial" w:cs="Arial"/>
          <w:sz w:val="16"/>
        </w:rPr>
        <w:t>(one per line in the table)</w:t>
      </w:r>
      <w:r w:rsidR="00EA7C40" w:rsidRPr="00DD7EBF">
        <w:rPr>
          <w:rFonts w:ascii="Arial" w:hAnsi="Arial" w:cs="Arial"/>
          <w:sz w:val="16"/>
        </w:rPr>
        <w:t>.</w:t>
      </w:r>
      <w:r w:rsidR="004D2C0C">
        <w:rPr>
          <w:rFonts w:ascii="Arial" w:hAnsi="Arial" w:cs="Arial"/>
          <w:sz w:val="16"/>
        </w:rPr>
        <w:br/>
      </w:r>
      <w:r w:rsidR="004D2C0C" w:rsidRPr="004D2C0C">
        <w:rPr>
          <w:rFonts w:ascii="Arial" w:hAnsi="Arial" w:cs="Arial"/>
          <w:sz w:val="16"/>
          <w:szCs w:val="16"/>
        </w:rPr>
        <w:t xml:space="preserve">Source: Statistics New Zealand, Integrated Data Infrastructure, Ministry of Education interpretation. </w:t>
      </w:r>
    </w:p>
    <w:p w:rsidR="004307EF" w:rsidRPr="008B38BC" w:rsidRDefault="004307EF" w:rsidP="004307EF">
      <w:pPr>
        <w:pStyle w:val="BodyText"/>
      </w:pPr>
      <w:r>
        <w:t>The correlation between someone’s income prior to studying and the change in income on completing a qualification is given in column 2 of Table 1. This shows a consistent pattern of being moderately negative for lower-level qualifications, tending to zero for higher-level qualifications. This suggests that having a higher income somehow negates the advantage</w:t>
      </w:r>
      <w:r w:rsidR="00E0617A">
        <w:t>, in terms of a step change in income,</w:t>
      </w:r>
      <w:r>
        <w:t xml:space="preserve"> of completing a lower-level qualification. It’s as if there is an upper limit to what a lower-level qualification will provide in terms of income, and if that income has already been reached, completing one of these qualification doesn’t add much extra to someone’s income. On the other hand, the step change in income on completing a diploma, and especially a </w:t>
      </w:r>
      <w:proofErr w:type="gramStart"/>
      <w:r>
        <w:t>bachelors</w:t>
      </w:r>
      <w:proofErr w:type="gramEnd"/>
      <w:r>
        <w:t xml:space="preserve"> degree, is essentially independent of someone’s income before they start their study.</w:t>
      </w:r>
    </w:p>
    <w:p w:rsidR="00CF0652" w:rsidRDefault="00CF0652" w:rsidP="00CF0652">
      <w:pPr>
        <w:pStyle w:val="BodyText"/>
      </w:pPr>
      <w:r>
        <w:t xml:space="preserve">The correlation between the </w:t>
      </w:r>
      <w:r w:rsidR="00B27F6D">
        <w:t xml:space="preserve">amount of </w:t>
      </w:r>
      <w:r>
        <w:t xml:space="preserve">pre-study income and the </w:t>
      </w:r>
      <w:r w:rsidR="00BF607D">
        <w:t xml:space="preserve">annual </w:t>
      </w:r>
      <w:r>
        <w:t xml:space="preserve">rate of </w:t>
      </w:r>
      <w:r w:rsidR="00B27F6D">
        <w:t>increase</w:t>
      </w:r>
      <w:r>
        <w:t xml:space="preserve"> in income after completing is given in column </w:t>
      </w:r>
      <w:r w:rsidR="00B03661">
        <w:t>3</w:t>
      </w:r>
      <w:r>
        <w:t xml:space="preserve"> of Table 1. It appears there is only a significant </w:t>
      </w:r>
      <w:r>
        <w:lastRenderedPageBreak/>
        <w:t xml:space="preserve">correlation between these two components of income for young adults, and it is strongest for young adults studying for and completing a certificate at levels 1 to 3. </w:t>
      </w:r>
      <w:r w:rsidR="00D632B9">
        <w:t>There is less correlation</w:t>
      </w:r>
      <w:r>
        <w:t xml:space="preserve"> for certificates at level 4 and diplomas, and no correlation for young adults studying and completing a </w:t>
      </w:r>
      <w:proofErr w:type="gramStart"/>
      <w:r>
        <w:t>bachelors</w:t>
      </w:r>
      <w:proofErr w:type="gramEnd"/>
      <w:r>
        <w:t xml:space="preserve"> degree. The correlation suggests that for young adults completing lower-level qualifications in their twenties, the higher the income prior to study, the lower the rate of increase in income after completing. This pattern complements that seen between income prior to study and the step change in income on completing a qualification.</w:t>
      </w:r>
    </w:p>
    <w:p w:rsidR="00EE650C" w:rsidRDefault="00EE650C" w:rsidP="00622E1D">
      <w:pPr>
        <w:pStyle w:val="BodyText"/>
      </w:pPr>
      <w:r>
        <w:t>The correlation between the rate of change in income before studying and the step change in income on completing (</w:t>
      </w:r>
      <w:r w:rsidR="00622E1D">
        <w:t>Table 1,</w:t>
      </w:r>
      <w:r>
        <w:t xml:space="preserve"> column </w:t>
      </w:r>
      <w:r w:rsidR="00B03661">
        <w:t>4</w:t>
      </w:r>
      <w:r>
        <w:t>)</w:t>
      </w:r>
      <w:r w:rsidR="00C371BD">
        <w:t>,</w:t>
      </w:r>
      <w:r>
        <w:t xml:space="preserve"> and between the step change in income </w:t>
      </w:r>
      <w:r w:rsidR="00DF1006">
        <w:t>on</w:t>
      </w:r>
      <w:r>
        <w:t xml:space="preserve"> completing and the </w:t>
      </w:r>
      <w:r w:rsidR="00DF1006">
        <w:t xml:space="preserve">annual </w:t>
      </w:r>
      <w:r>
        <w:t>change in income after completing (</w:t>
      </w:r>
      <w:r w:rsidR="00622E1D">
        <w:t>Table 1</w:t>
      </w:r>
      <w:r>
        <w:t xml:space="preserve">, column </w:t>
      </w:r>
      <w:r w:rsidR="00B03661">
        <w:t>6</w:t>
      </w:r>
      <w:r>
        <w:t xml:space="preserve">) do not show any consistent pattern across age or level of study. </w:t>
      </w:r>
    </w:p>
    <w:p w:rsidR="00EE650C" w:rsidRDefault="00EE650C" w:rsidP="00622E1D">
      <w:pPr>
        <w:pStyle w:val="BodyText"/>
      </w:pPr>
      <w:r>
        <w:t>The largest correlation</w:t>
      </w:r>
      <w:r w:rsidR="00D632B9">
        <w:t xml:space="preserve"> i</w:t>
      </w:r>
      <w:r>
        <w:t xml:space="preserve">s found between the </w:t>
      </w:r>
      <w:r w:rsidR="00BA2E50">
        <w:t>annual</w:t>
      </w:r>
      <w:r>
        <w:t xml:space="preserve"> change</w:t>
      </w:r>
      <w:r w:rsidR="00F435CE">
        <w:t>s</w:t>
      </w:r>
      <w:r>
        <w:t xml:space="preserve"> in income before studying and after completing (</w:t>
      </w:r>
      <w:r w:rsidR="00622E1D">
        <w:t>Table 1</w:t>
      </w:r>
      <w:r>
        <w:t xml:space="preserve">, column </w:t>
      </w:r>
      <w:r w:rsidR="00B03661">
        <w:t>5</w:t>
      </w:r>
      <w:r>
        <w:t xml:space="preserve">). There is a consistent trend within each age group for the correlations to be larger (more negative) for lower-level qualifications, but even for people completing </w:t>
      </w:r>
      <w:proofErr w:type="spellStart"/>
      <w:proofErr w:type="gramStart"/>
      <w:r>
        <w:t>bachelors</w:t>
      </w:r>
      <w:proofErr w:type="spellEnd"/>
      <w:proofErr w:type="gramEnd"/>
      <w:r>
        <w:t xml:space="preserve"> degrees, the correlations are still quite large and negative. </w:t>
      </w:r>
    </w:p>
    <w:p w:rsidR="00BF07AD" w:rsidRDefault="00C371BD" w:rsidP="00BF07AD">
      <w:pPr>
        <w:pStyle w:val="BodyText"/>
      </w:pPr>
      <w:r>
        <w:t>This suggest</w:t>
      </w:r>
      <w:r w:rsidR="000F5E5F">
        <w:t>s</w:t>
      </w:r>
      <w:r>
        <w:t xml:space="preserve"> that </w:t>
      </w:r>
      <w:r w:rsidR="00BF07AD">
        <w:t xml:space="preserve">someone is less likely to get a large annual increment </w:t>
      </w:r>
      <w:r w:rsidR="008A4D5C">
        <w:t xml:space="preserve">in their income </w:t>
      </w:r>
      <w:r w:rsidR="00BF07AD">
        <w:t xml:space="preserve">after completing a qualification if they already </w:t>
      </w:r>
      <w:r w:rsidR="00D632B9">
        <w:t xml:space="preserve">receive </w:t>
      </w:r>
      <w:r w:rsidR="00BF07AD">
        <w:t>large annual increment</w:t>
      </w:r>
      <w:r w:rsidR="00D632B9">
        <w:t>s</w:t>
      </w:r>
      <w:r w:rsidR="00BF07AD">
        <w:t>, and this is more likely to be the case if they complete a lower-level qualification. Of course there may still be a benefit in terms of a one-off step increase in income, and on average, this is indeed the case. Again, this step increase is generally higher for those completing higher-level qualification</w:t>
      </w:r>
      <w:r w:rsidR="00714993">
        <w:t>s</w:t>
      </w:r>
      <w:r w:rsidR="00BF07AD">
        <w:t>.</w:t>
      </w:r>
      <w:r w:rsidR="00B27F6D">
        <w:t xml:space="preserve"> The corollary is also important; people with </w:t>
      </w:r>
      <w:r w:rsidR="00B27F6D" w:rsidRPr="00B27F6D">
        <w:rPr>
          <w:i/>
        </w:rPr>
        <w:t>lower</w:t>
      </w:r>
      <w:r w:rsidR="00B27F6D">
        <w:t xml:space="preserve"> pre-study rates of increase in income are more likely to have a </w:t>
      </w:r>
      <w:r w:rsidR="00B27F6D">
        <w:rPr>
          <w:i/>
        </w:rPr>
        <w:t xml:space="preserve">higher </w:t>
      </w:r>
      <w:r w:rsidR="00B27F6D">
        <w:t>rate of increase in their income after completing a qualification.</w:t>
      </w:r>
    </w:p>
    <w:p w:rsidR="00817DA7" w:rsidRDefault="00817DA7" w:rsidP="0080596C">
      <w:pPr>
        <w:pStyle w:val="BodyText"/>
      </w:pPr>
    </w:p>
    <w:p w:rsidR="00817DA7" w:rsidRDefault="00817DA7" w:rsidP="0080596C">
      <w:pPr>
        <w:pStyle w:val="BodyText"/>
      </w:pPr>
      <w:r>
        <w:t xml:space="preserve">The incomes reported in this section have been averages, predicted by our regression models. </w:t>
      </w:r>
      <w:r w:rsidR="0075435D">
        <w:t>These results are most useful if the average is a good measure of a group’s income.</w:t>
      </w:r>
      <w:r>
        <w:t xml:space="preserve"> </w:t>
      </w:r>
      <w:r w:rsidR="0075435D">
        <w:t>However, o</w:t>
      </w:r>
      <w:r>
        <w:t xml:space="preserve">ur models show there is much variation between people in their pre-study and post-study incomes, and in the step change in income on completing a qualification, even for the same gender, age group and level </w:t>
      </w:r>
      <w:r w:rsidR="0075435D">
        <w:t>of qualification completed, although</w:t>
      </w:r>
      <w:r>
        <w:t xml:space="preserve"> our models </w:t>
      </w:r>
      <w:r w:rsidR="0075435D">
        <w:t xml:space="preserve">also </w:t>
      </w:r>
      <w:r>
        <w:t xml:space="preserve">show there is far less variability in the annual rate of change in income. </w:t>
      </w:r>
      <w:r w:rsidR="0075435D">
        <w:t>So it might be that while the average income is above the student loan repayment threshold, there are others in the group whose income is below the threshold.</w:t>
      </w:r>
    </w:p>
    <w:p w:rsidR="002222FF" w:rsidRPr="0075435D" w:rsidRDefault="00817DA7" w:rsidP="0075435D">
      <w:pPr>
        <w:pStyle w:val="BodyText"/>
      </w:pPr>
      <w:r>
        <w:t>In t</w:t>
      </w:r>
      <w:r w:rsidR="00BD50B1">
        <w:t>he next section</w:t>
      </w:r>
      <w:r>
        <w:t xml:space="preserve"> we</w:t>
      </w:r>
      <w:r w:rsidR="00BD50B1">
        <w:t xml:space="preserve"> look at</w:t>
      </w:r>
      <w:r w:rsidR="0075435D">
        <w:t xml:space="preserve"> the distribution of post-completion incomes and how these vary with the factors in our models.</w:t>
      </w:r>
      <w:r w:rsidR="002222FF">
        <w:br w:type="page"/>
      </w:r>
    </w:p>
    <w:p w:rsidR="006B00C6" w:rsidRDefault="005D30D3" w:rsidP="006B00C6">
      <w:pPr>
        <w:pStyle w:val="Heading1"/>
      </w:pPr>
      <w:bookmarkStart w:id="6" w:name="_Toc386449900"/>
      <w:r>
        <w:lastRenderedPageBreak/>
        <w:t>Post-completion income distributions</w:t>
      </w:r>
      <w:bookmarkEnd w:id="6"/>
    </w:p>
    <w:p w:rsidR="001A0C1D" w:rsidRDefault="00810A01" w:rsidP="001A0C1D">
      <w:pPr>
        <w:pStyle w:val="BodyText"/>
      </w:pPr>
      <w:r>
        <w:t xml:space="preserve">The results in the previous section were average </w:t>
      </w:r>
      <w:r w:rsidR="00AA6421">
        <w:t>incomes for particular sub-populations of student loan borrowers.</w:t>
      </w:r>
      <w:r>
        <w:t xml:space="preserve"> </w:t>
      </w:r>
      <w:r w:rsidR="00A46453">
        <w:t>The statistical models we used estimated average incomes.</w:t>
      </w:r>
      <w:r w:rsidR="00CE7C7B">
        <w:t xml:space="preserve"> The average is a good measure of an outcome if most values are centred near the average, with a small dispersion around this average. However, incomes don’t usually follow this pattern. As we saw from the results of the previous section, there is much unexplained variation around the average results. This is why i</w:t>
      </w:r>
      <w:r w:rsidR="00A46453">
        <w:t xml:space="preserve">ncomes are usually reported as medians, to account for the fact incomes are typically not normally distributed, with fewer people having high incomes, and proportionally more people having below-average incomes. </w:t>
      </w:r>
      <w:r w:rsidR="00AA6421">
        <w:t xml:space="preserve">In this section we </w:t>
      </w:r>
      <w:r w:rsidR="0052757F">
        <w:t xml:space="preserve">consider </w:t>
      </w:r>
      <w:r w:rsidR="00CE7C7B">
        <w:t>the distribution of post-completion income, conditional on the same range of factors we considered previously.</w:t>
      </w:r>
      <w:r w:rsidR="0052757F">
        <w:t xml:space="preserve"> The results are presented in Tables </w:t>
      </w:r>
      <w:r w:rsidR="009325FA">
        <w:t>3</w:t>
      </w:r>
      <w:r w:rsidR="0052757F">
        <w:t xml:space="preserve"> to </w:t>
      </w:r>
      <w:r w:rsidR="009325FA">
        <w:t>4</w:t>
      </w:r>
      <w:r w:rsidR="00AA6421">
        <w:t xml:space="preserve">, and summarised in Figure </w:t>
      </w:r>
      <w:r w:rsidR="00E0617A">
        <w:t>4</w:t>
      </w:r>
      <w:r w:rsidR="00E62544">
        <w:t xml:space="preserve"> and Table </w:t>
      </w:r>
      <w:r w:rsidR="009325FA">
        <w:t>7</w:t>
      </w:r>
      <w:r w:rsidR="0052757F">
        <w:t>.</w:t>
      </w:r>
      <w:r w:rsidR="00622E1D">
        <w:t xml:space="preserve"> </w:t>
      </w:r>
      <w:r w:rsidR="0038259D">
        <w:t>T</w:t>
      </w:r>
      <w:r w:rsidR="00DE783B">
        <w:t xml:space="preserve">ables </w:t>
      </w:r>
      <w:r w:rsidR="009325FA">
        <w:t>3</w:t>
      </w:r>
      <w:r w:rsidR="0038259D">
        <w:t xml:space="preserve"> to </w:t>
      </w:r>
      <w:r w:rsidR="009325FA">
        <w:t>6</w:t>
      </w:r>
      <w:r w:rsidR="0038259D">
        <w:t xml:space="preserve"> </w:t>
      </w:r>
      <w:r w:rsidR="0003332A">
        <w:t>show the income in the year before someone starts study</w:t>
      </w:r>
      <w:r w:rsidR="00037082">
        <w:t xml:space="preserve"> at a particular level</w:t>
      </w:r>
      <w:r w:rsidR="00317177">
        <w:t xml:space="preserve"> of qualification</w:t>
      </w:r>
      <w:r w:rsidR="00037082">
        <w:t>, and the</w:t>
      </w:r>
      <w:r w:rsidR="0003332A">
        <w:t xml:space="preserve"> </w:t>
      </w:r>
      <w:r w:rsidR="00037082">
        <w:t xml:space="preserve">expected </w:t>
      </w:r>
      <w:r w:rsidR="0003332A">
        <w:t>income in the year after completing</w:t>
      </w:r>
      <w:r w:rsidR="00A46453">
        <w:t xml:space="preserve">, for people </w:t>
      </w:r>
      <w:r w:rsidR="00CE7C7B">
        <w:t>at the 25</w:t>
      </w:r>
      <w:r w:rsidR="00CE7C7B" w:rsidRPr="00CE7C7B">
        <w:rPr>
          <w:vertAlign w:val="superscript"/>
        </w:rPr>
        <w:t>th</w:t>
      </w:r>
      <w:r w:rsidR="00CE7C7B">
        <w:t>, 50</w:t>
      </w:r>
      <w:r w:rsidR="00CE7C7B" w:rsidRPr="00CE7C7B">
        <w:rPr>
          <w:vertAlign w:val="superscript"/>
        </w:rPr>
        <w:t>th</w:t>
      </w:r>
      <w:r w:rsidR="00CE7C7B">
        <w:t xml:space="preserve"> and 75</w:t>
      </w:r>
      <w:r w:rsidR="00CE7C7B" w:rsidRPr="00CE7C7B">
        <w:rPr>
          <w:vertAlign w:val="superscript"/>
        </w:rPr>
        <w:t>th</w:t>
      </w:r>
      <w:r w:rsidR="00CE7C7B">
        <w:t xml:space="preserve"> percentile of post-completion</w:t>
      </w:r>
      <w:r w:rsidR="00C42086">
        <w:t xml:space="preserve"> income</w:t>
      </w:r>
      <w:r w:rsidR="0003332A">
        <w:t>.</w:t>
      </w:r>
      <w:r w:rsidR="00317177">
        <w:rPr>
          <w:rStyle w:val="FootnoteReference"/>
        </w:rPr>
        <w:footnoteReference w:id="9"/>
      </w:r>
    </w:p>
    <w:p w:rsidR="001A0C1D" w:rsidRDefault="001A0C1D" w:rsidP="001A0C1D">
      <w:pPr>
        <w:pStyle w:val="BodyText"/>
      </w:pPr>
      <w:r>
        <w:t>The study population for this analysis include</w:t>
      </w:r>
      <w:r w:rsidR="00F13411">
        <w:t>s</w:t>
      </w:r>
      <w:r>
        <w:t xml:space="preserve"> anyone with an income under $100,000 in</w:t>
      </w:r>
      <w:r w:rsidR="0091395B">
        <w:t xml:space="preserve"> all of</w:t>
      </w:r>
      <w:r>
        <w:t xml:space="preserve"> the years 1999 to 2008, </w:t>
      </w:r>
      <w:r w:rsidR="009A5893">
        <w:t xml:space="preserve">and excludes people with zero income in each of those years. We select </w:t>
      </w:r>
      <w:r>
        <w:t xml:space="preserve">people where we have </w:t>
      </w:r>
      <w:r w:rsidR="00F13411">
        <w:t xml:space="preserve">both a </w:t>
      </w:r>
      <w:r>
        <w:t xml:space="preserve">record for them </w:t>
      </w:r>
      <w:r w:rsidR="003173E8">
        <w:t>before they start any tertiary study</w:t>
      </w:r>
      <w:r>
        <w:t xml:space="preserve">, and </w:t>
      </w:r>
      <w:r w:rsidR="00F13411">
        <w:t xml:space="preserve">another </w:t>
      </w:r>
      <w:r w:rsidR="0038259D">
        <w:t xml:space="preserve">record </w:t>
      </w:r>
      <w:r w:rsidR="003173E8">
        <w:t xml:space="preserve">one year after </w:t>
      </w:r>
      <w:r w:rsidR="00F13411">
        <w:t xml:space="preserve">they completed </w:t>
      </w:r>
      <w:r w:rsidR="003173E8">
        <w:t>a</w:t>
      </w:r>
      <w:r w:rsidR="00F13411">
        <w:t xml:space="preserve"> </w:t>
      </w:r>
      <w:r>
        <w:t>qualification.</w:t>
      </w:r>
    </w:p>
    <w:p w:rsidR="001A0C1D" w:rsidRDefault="001A0C1D" w:rsidP="001A0C1D">
      <w:pPr>
        <w:pStyle w:val="BodyText"/>
      </w:pPr>
      <w:r>
        <w:t xml:space="preserve">The tables show the </w:t>
      </w:r>
      <w:r w:rsidR="00F13411">
        <w:t>pre-study</w:t>
      </w:r>
      <w:r>
        <w:t xml:space="preserve"> </w:t>
      </w:r>
      <w:r w:rsidR="00F13411">
        <w:t xml:space="preserve">and post-completion </w:t>
      </w:r>
      <w:r>
        <w:t xml:space="preserve">income for three groups; those whose </w:t>
      </w:r>
      <w:r w:rsidR="004B1072">
        <w:t>post</w:t>
      </w:r>
      <w:r w:rsidR="00F13411">
        <w:t>-</w:t>
      </w:r>
      <w:r w:rsidR="004B1072">
        <w:t>completion</w:t>
      </w:r>
      <w:r w:rsidR="00F13411">
        <w:t xml:space="preserve"> i</w:t>
      </w:r>
      <w:r>
        <w:t>ncome was at the 25</w:t>
      </w:r>
      <w:r w:rsidRPr="0003332A">
        <w:rPr>
          <w:vertAlign w:val="superscript"/>
        </w:rPr>
        <w:t>th</w:t>
      </w:r>
      <w:r>
        <w:t xml:space="preserve"> percentile for the particular combination of </w:t>
      </w:r>
      <w:r w:rsidR="00317177">
        <w:t>characteristics</w:t>
      </w:r>
      <w:r>
        <w:t xml:space="preserve"> (age, gender, student loan and benefit status), the median or 50</w:t>
      </w:r>
      <w:r w:rsidRPr="0003332A">
        <w:rPr>
          <w:vertAlign w:val="superscript"/>
        </w:rPr>
        <w:t>th</w:t>
      </w:r>
      <w:r>
        <w:t xml:space="preserve"> percentile, and the 75</w:t>
      </w:r>
      <w:r w:rsidRPr="0003332A">
        <w:rPr>
          <w:vertAlign w:val="superscript"/>
        </w:rPr>
        <w:t>th</w:t>
      </w:r>
      <w:r>
        <w:t xml:space="preserve"> percentile. In this way we can see whether people in the lower quartile of the income distribution </w:t>
      </w:r>
      <w:r w:rsidR="009A5893">
        <w:t xml:space="preserve">for a </w:t>
      </w:r>
      <w:r w:rsidR="0038259D">
        <w:t xml:space="preserve">particular combination of characteristics </w:t>
      </w:r>
      <w:r w:rsidR="004B1072">
        <w:t xml:space="preserve">reach the student loan repayment threshold </w:t>
      </w:r>
      <w:r>
        <w:t>on completing a qualification</w:t>
      </w:r>
      <w:r w:rsidR="001A4A71">
        <w:t xml:space="preserve">, compared with </w:t>
      </w:r>
      <w:r w:rsidR="009212C8">
        <w:t>people with</w:t>
      </w:r>
      <w:r>
        <w:t xml:space="preserve"> </w:t>
      </w:r>
      <w:r w:rsidR="0038259D">
        <w:t xml:space="preserve">similar </w:t>
      </w:r>
      <w:r w:rsidR="009212C8">
        <w:t xml:space="preserve">characteristics but </w:t>
      </w:r>
      <w:r>
        <w:t>higher in the</w:t>
      </w:r>
      <w:r w:rsidR="00A807DB">
        <w:t xml:space="preserve"> </w:t>
      </w:r>
      <w:r w:rsidR="004B1072">
        <w:t>post</w:t>
      </w:r>
      <w:r w:rsidR="00A807DB">
        <w:t>-</w:t>
      </w:r>
      <w:r w:rsidR="004B1072">
        <w:t>completion</w:t>
      </w:r>
      <w:r w:rsidR="00A807DB">
        <w:t xml:space="preserve"> </w:t>
      </w:r>
      <w:r>
        <w:t>income distribution.</w:t>
      </w:r>
      <w:r w:rsidR="00B943FA">
        <w:t xml:space="preserve"> </w:t>
      </w:r>
    </w:p>
    <w:p w:rsidR="00A61710" w:rsidRDefault="00A61710" w:rsidP="001A0C1D">
      <w:pPr>
        <w:pStyle w:val="BodyText"/>
      </w:pPr>
      <w:r>
        <w:t>Note that the results in this section are not directly comparable to the results in the previous section. Previously, we ensured everyone’</w:t>
      </w:r>
      <w:r w:rsidR="002D3503">
        <w:t>s pre-study</w:t>
      </w:r>
      <w:r>
        <w:t xml:space="preserve"> income in the study population was below the repayment threshold. In this section, some groups </w:t>
      </w:r>
      <w:r w:rsidR="009212C8">
        <w:t>with particular combinations of characteristics</w:t>
      </w:r>
      <w:r w:rsidR="004B1072">
        <w:t xml:space="preserve"> have pre-study incomes which </w:t>
      </w:r>
      <w:r>
        <w:t xml:space="preserve">are above </w:t>
      </w:r>
      <w:r w:rsidR="00B943FA">
        <w:t>the repayment threshold.</w:t>
      </w:r>
    </w:p>
    <w:p w:rsidR="00087757" w:rsidRDefault="00087757" w:rsidP="001A0C1D">
      <w:pPr>
        <w:pStyle w:val="BodyText"/>
      </w:pPr>
      <w:r>
        <w:t xml:space="preserve">The results show that for </w:t>
      </w:r>
      <w:r w:rsidR="001A4A71">
        <w:t>student loan borrowers</w:t>
      </w:r>
      <w:r>
        <w:t xml:space="preserve"> completing </w:t>
      </w:r>
      <w:proofErr w:type="spellStart"/>
      <w:proofErr w:type="gramStart"/>
      <w:r>
        <w:t>bachelors</w:t>
      </w:r>
      <w:proofErr w:type="spellEnd"/>
      <w:proofErr w:type="gramEnd"/>
      <w:r>
        <w:t xml:space="preserve"> degrees, </w:t>
      </w:r>
      <w:r w:rsidR="001A4A71">
        <w:t xml:space="preserve">graduates with incomes at the bottom quarter, and higher, of the income distribution for their particular combination of characteristics </w:t>
      </w:r>
      <w:r>
        <w:t>have post-completion income</w:t>
      </w:r>
      <w:r w:rsidR="00747472">
        <w:t>s</w:t>
      </w:r>
      <w:r>
        <w:t xml:space="preserve"> that </w:t>
      </w:r>
      <w:r w:rsidR="00747472">
        <w:t>are</w:t>
      </w:r>
      <w:r>
        <w:t xml:space="preserve"> above the repayment threshold</w:t>
      </w:r>
      <w:r w:rsidR="001A4A71">
        <w:t>.</w:t>
      </w:r>
      <w:r w:rsidR="001A4A71">
        <w:rPr>
          <w:rStyle w:val="FootnoteReference"/>
        </w:rPr>
        <w:footnoteReference w:id="10"/>
      </w:r>
      <w:r w:rsidR="001A4A71">
        <w:t xml:space="preserve"> For those </w:t>
      </w:r>
      <w:r>
        <w:t>at the 25</w:t>
      </w:r>
      <w:r w:rsidRPr="00087757">
        <w:rPr>
          <w:vertAlign w:val="superscript"/>
        </w:rPr>
        <w:t>th</w:t>
      </w:r>
      <w:r>
        <w:t xml:space="preserve"> percentile of graduate income, this is not because their pre-study incomes were already above the threshold. These results conform </w:t>
      </w:r>
      <w:r w:rsidR="0018230F">
        <w:t>to</w:t>
      </w:r>
      <w:r>
        <w:t xml:space="preserve"> the results for average incomes one year after graduating</w:t>
      </w:r>
      <w:r w:rsidR="001A4A71">
        <w:t xml:space="preserve"> as seen in the previous section (see Table 2</w:t>
      </w:r>
      <w:r w:rsidR="00B75222">
        <w:t xml:space="preserve"> and contrast with Table 7</w:t>
      </w:r>
      <w:r w:rsidR="001A4A71">
        <w:t>)</w:t>
      </w:r>
      <w:r>
        <w:t xml:space="preserve">. </w:t>
      </w:r>
      <w:r w:rsidR="0018230F">
        <w:t xml:space="preserve">It also means that at least 75 per cent of </w:t>
      </w:r>
      <w:proofErr w:type="gramStart"/>
      <w:r w:rsidR="0018230F">
        <w:t>bachelors</w:t>
      </w:r>
      <w:proofErr w:type="gramEnd"/>
      <w:r w:rsidR="0018230F">
        <w:t xml:space="preserve"> </w:t>
      </w:r>
      <w:r w:rsidR="00B75222">
        <w:t xml:space="preserve">degree </w:t>
      </w:r>
      <w:r w:rsidR="0018230F">
        <w:t>graduates will be obliged to start repaying their student loans in the year after completing their qualification.</w:t>
      </w:r>
    </w:p>
    <w:p w:rsidR="00087757" w:rsidRDefault="00087757" w:rsidP="001A0C1D">
      <w:pPr>
        <w:pStyle w:val="BodyText"/>
      </w:pPr>
      <w:r>
        <w:t xml:space="preserve">For those completing diplomas, incomes at the </w:t>
      </w:r>
      <w:r w:rsidR="001A4A71">
        <w:t xml:space="preserve">median and </w:t>
      </w:r>
      <w:r>
        <w:t>75</w:t>
      </w:r>
      <w:r w:rsidRPr="00087757">
        <w:rPr>
          <w:vertAlign w:val="superscript"/>
        </w:rPr>
        <w:t>th</w:t>
      </w:r>
      <w:r>
        <w:t xml:space="preserve"> percentile are generally above the repayment threshold. </w:t>
      </w:r>
      <w:r w:rsidR="0018230F">
        <w:t>However, for those with graduate incomes at the 25</w:t>
      </w:r>
      <w:r w:rsidR="0018230F" w:rsidRPr="0018230F">
        <w:rPr>
          <w:vertAlign w:val="superscript"/>
        </w:rPr>
        <w:t>th</w:t>
      </w:r>
      <w:r w:rsidR="0018230F">
        <w:t xml:space="preserve"> percentile</w:t>
      </w:r>
      <w:r w:rsidR="001A4A71">
        <w:t xml:space="preserve"> for their group</w:t>
      </w:r>
      <w:r w:rsidR="0018230F">
        <w:t xml:space="preserve">, only men not on a benefit have incomes above the repayment threshold. </w:t>
      </w:r>
    </w:p>
    <w:p w:rsidR="0018230F" w:rsidRDefault="0018230F" w:rsidP="001A0C1D">
      <w:pPr>
        <w:pStyle w:val="BodyText"/>
      </w:pPr>
      <w:r>
        <w:lastRenderedPageBreak/>
        <w:t>For progressively lower level qualifications, the results show progressively fewer groups with graduate incomes above the repayment threshold. Certainly, anyone with a graduate income at the 75</w:t>
      </w:r>
      <w:r w:rsidRPr="0018230F">
        <w:rPr>
          <w:vertAlign w:val="superscript"/>
        </w:rPr>
        <w:t>th</w:t>
      </w:r>
      <w:r>
        <w:t xml:space="preserve"> percentile will be above the repayment threshold, regardless of what level of qualification they complete. But for older people completing a certificate at level 4, those on a benefit with a median income or lower for their group are below the repayment threshold. And for those completing certificates at levels 1 to 3, the same result applies to those on the median income for this group</w:t>
      </w:r>
      <w:r w:rsidR="00347B15">
        <w:t>. B</w:t>
      </w:r>
      <w:r>
        <w:t>ut for those at the 25</w:t>
      </w:r>
      <w:r w:rsidRPr="0018230F">
        <w:rPr>
          <w:vertAlign w:val="superscript"/>
        </w:rPr>
        <w:t>th</w:t>
      </w:r>
      <w:r>
        <w:t xml:space="preserve"> percentile of graduate income, only young men not on a benefit have an income that is above the repayment threshold.</w:t>
      </w:r>
    </w:p>
    <w:p w:rsidR="00B15006" w:rsidRPr="002B0564" w:rsidRDefault="002B0564" w:rsidP="00A61710">
      <w:pPr>
        <w:pStyle w:val="BodyText"/>
      </w:pPr>
      <w:r>
        <w:t>Of course graduates across the post-completion income distribution have different</w:t>
      </w:r>
      <w:r w:rsidR="00347B15">
        <w:t xml:space="preserve"> pre-study</w:t>
      </w:r>
      <w:r>
        <w:t xml:space="preserve"> incomes. These are shown in Tables 3 to 6, and the relationship between the pre-study and post-completion incomes is summarised in Figure 4. </w:t>
      </w:r>
      <w:bookmarkStart w:id="7" w:name="_Ref370985461"/>
      <w:r w:rsidR="003173E8">
        <w:t xml:space="preserve">Note </w:t>
      </w:r>
      <w:r w:rsidR="00166A10">
        <w:t>Figure 4</w:t>
      </w:r>
      <w:r w:rsidR="003173E8">
        <w:t xml:space="preserve"> show</w:t>
      </w:r>
      <w:r w:rsidR="00166A10">
        <w:t>s</w:t>
      </w:r>
      <w:r w:rsidR="003173E8">
        <w:t xml:space="preserve"> data for people with and without student loans, </w:t>
      </w:r>
      <w:r w:rsidR="009F466D">
        <w:t xml:space="preserve">and with and without a benefit, </w:t>
      </w:r>
      <w:r w:rsidR="003173E8">
        <w:t xml:space="preserve">as the general </w:t>
      </w:r>
      <w:r w:rsidR="00CE7C93">
        <w:t>patterns</w:t>
      </w:r>
      <w:r w:rsidR="003173E8">
        <w:t xml:space="preserve"> appear to apply to all students.</w:t>
      </w:r>
    </w:p>
    <w:p w:rsidR="006B00C6" w:rsidRPr="004D2C0C" w:rsidRDefault="005B7A42" w:rsidP="005B7A42">
      <w:pPr>
        <w:pStyle w:val="Caption"/>
        <w:rPr>
          <w:sz w:val="16"/>
        </w:rPr>
      </w:pPr>
      <w:proofErr w:type="gramStart"/>
      <w:r w:rsidRPr="004D2C0C">
        <w:rPr>
          <w:sz w:val="16"/>
        </w:rPr>
        <w:t xml:space="preserve">Table </w:t>
      </w:r>
      <w:r w:rsidR="0092253D" w:rsidRPr="004D2C0C">
        <w:rPr>
          <w:sz w:val="16"/>
        </w:rPr>
        <w:fldChar w:fldCharType="begin"/>
      </w:r>
      <w:r w:rsidRPr="004D2C0C">
        <w:rPr>
          <w:sz w:val="16"/>
        </w:rPr>
        <w:instrText xml:space="preserve"> SEQ Table \* ARABIC </w:instrText>
      </w:r>
      <w:r w:rsidR="0092253D" w:rsidRPr="004D2C0C">
        <w:rPr>
          <w:sz w:val="16"/>
        </w:rPr>
        <w:fldChar w:fldCharType="separate"/>
      </w:r>
      <w:r w:rsidR="00D15EF8">
        <w:rPr>
          <w:noProof/>
          <w:sz w:val="16"/>
        </w:rPr>
        <w:t>3</w:t>
      </w:r>
      <w:r w:rsidR="0092253D" w:rsidRPr="004D2C0C">
        <w:rPr>
          <w:sz w:val="16"/>
        </w:rPr>
        <w:fldChar w:fldCharType="end"/>
      </w:r>
      <w:bookmarkEnd w:id="7"/>
      <w:r w:rsidR="006B00C6" w:rsidRPr="004D2C0C">
        <w:rPr>
          <w:sz w:val="16"/>
        </w:rPr>
        <w:t>.</w:t>
      </w:r>
      <w:proofErr w:type="gramEnd"/>
      <w:r w:rsidRPr="004D2C0C">
        <w:rPr>
          <w:sz w:val="16"/>
        </w:rPr>
        <w:t xml:space="preserve"> </w:t>
      </w:r>
      <w:r w:rsidR="00AD254B">
        <w:rPr>
          <w:sz w:val="16"/>
        </w:rPr>
        <w:t xml:space="preserve"> </w:t>
      </w:r>
      <w:r w:rsidR="0030599C">
        <w:rPr>
          <w:b w:val="0"/>
          <w:sz w:val="16"/>
        </w:rPr>
        <w:t>Distribution of i</w:t>
      </w:r>
      <w:r w:rsidR="008F2540" w:rsidRPr="004D2C0C">
        <w:rPr>
          <w:b w:val="0"/>
          <w:sz w:val="16"/>
        </w:rPr>
        <w:t xml:space="preserve">ncomes </w:t>
      </w:r>
      <w:r w:rsidR="0098525C" w:rsidRPr="004D2C0C">
        <w:rPr>
          <w:b w:val="0"/>
          <w:sz w:val="16"/>
        </w:rPr>
        <w:t xml:space="preserve">(in thousands of dollars) </w:t>
      </w:r>
      <w:r w:rsidR="008F2540" w:rsidRPr="004D2C0C">
        <w:rPr>
          <w:b w:val="0"/>
          <w:sz w:val="16"/>
        </w:rPr>
        <w:t xml:space="preserve">before and after completing a </w:t>
      </w:r>
      <w:r w:rsidR="008F2540" w:rsidRPr="00064063">
        <w:rPr>
          <w:sz w:val="16"/>
        </w:rPr>
        <w:t>certificate at levels 1 to 3</w:t>
      </w:r>
      <w:r w:rsidR="008F2540" w:rsidRPr="004D2C0C">
        <w:rPr>
          <w:b w:val="0"/>
          <w:sz w:val="16"/>
        </w:rPr>
        <w:t>, by age, gender, and student loan and benefit status</w:t>
      </w:r>
    </w:p>
    <w:tbl>
      <w:tblPr>
        <w:tblStyle w:val="TableGrid"/>
        <w:tblW w:w="88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2"/>
        <w:gridCol w:w="756"/>
        <w:gridCol w:w="798"/>
        <w:gridCol w:w="812"/>
        <w:gridCol w:w="656"/>
        <w:gridCol w:w="268"/>
        <w:gridCol w:w="700"/>
        <w:gridCol w:w="308"/>
        <w:gridCol w:w="586"/>
        <w:gridCol w:w="295"/>
        <w:gridCol w:w="620"/>
        <w:gridCol w:w="252"/>
        <w:gridCol w:w="696"/>
        <w:gridCol w:w="266"/>
        <w:gridCol w:w="602"/>
        <w:gridCol w:w="266"/>
      </w:tblGrid>
      <w:tr w:rsidR="006347A7" w:rsidRPr="005B7A42" w:rsidTr="0017636B">
        <w:tc>
          <w:tcPr>
            <w:tcW w:w="952" w:type="dxa"/>
            <w:vMerge w:val="restart"/>
            <w:tcBorders>
              <w:top w:val="single" w:sz="4" w:space="0" w:color="auto"/>
            </w:tcBorders>
            <w:shd w:val="clear" w:color="auto" w:fill="DDD9C3" w:themeFill="background2" w:themeFillShade="E6"/>
            <w:vAlign w:val="bottom"/>
          </w:tcPr>
          <w:p w:rsidR="006347A7" w:rsidRPr="005B7A42" w:rsidRDefault="006347A7" w:rsidP="00EA48A6">
            <w:pPr>
              <w:pStyle w:val="BodyText"/>
              <w:spacing w:before="40" w:after="20" w:line="240" w:lineRule="auto"/>
              <w:jc w:val="center"/>
              <w:rPr>
                <w:rFonts w:ascii="Arial" w:hAnsi="Arial" w:cs="Arial"/>
                <w:sz w:val="16"/>
                <w:szCs w:val="18"/>
              </w:rPr>
            </w:pPr>
            <w:r w:rsidRPr="005B7A42">
              <w:rPr>
                <w:rFonts w:ascii="Arial" w:hAnsi="Arial" w:cs="Arial"/>
                <w:sz w:val="16"/>
                <w:szCs w:val="18"/>
              </w:rPr>
              <w:t>Age</w:t>
            </w:r>
            <w:r>
              <w:rPr>
                <w:rFonts w:ascii="Arial" w:hAnsi="Arial" w:cs="Arial"/>
                <w:sz w:val="16"/>
                <w:szCs w:val="18"/>
              </w:rPr>
              <w:t xml:space="preserve"> in 1999</w:t>
            </w:r>
          </w:p>
        </w:tc>
        <w:tc>
          <w:tcPr>
            <w:tcW w:w="756" w:type="dxa"/>
            <w:vMerge w:val="restart"/>
            <w:tcBorders>
              <w:top w:val="single" w:sz="4" w:space="0" w:color="auto"/>
            </w:tcBorders>
            <w:shd w:val="clear" w:color="auto" w:fill="DDD9C3" w:themeFill="background2" w:themeFillShade="E6"/>
            <w:vAlign w:val="bottom"/>
          </w:tcPr>
          <w:p w:rsidR="006347A7" w:rsidRPr="005B7A42" w:rsidRDefault="006347A7" w:rsidP="00EA48A6">
            <w:pPr>
              <w:pStyle w:val="BodyText"/>
              <w:spacing w:before="40" w:after="20" w:line="240" w:lineRule="auto"/>
              <w:jc w:val="center"/>
              <w:rPr>
                <w:rFonts w:ascii="Arial" w:hAnsi="Arial" w:cs="Arial"/>
                <w:sz w:val="16"/>
                <w:szCs w:val="18"/>
              </w:rPr>
            </w:pPr>
            <w:r w:rsidRPr="005B7A42">
              <w:rPr>
                <w:rFonts w:ascii="Arial" w:hAnsi="Arial" w:cs="Arial"/>
                <w:sz w:val="16"/>
                <w:szCs w:val="18"/>
              </w:rPr>
              <w:t>Gender</w:t>
            </w:r>
          </w:p>
        </w:tc>
        <w:tc>
          <w:tcPr>
            <w:tcW w:w="798" w:type="dxa"/>
            <w:vMerge w:val="restart"/>
            <w:tcBorders>
              <w:top w:val="single" w:sz="4" w:space="0" w:color="auto"/>
            </w:tcBorders>
            <w:shd w:val="clear" w:color="auto" w:fill="DDD9C3" w:themeFill="background2" w:themeFillShade="E6"/>
            <w:vAlign w:val="bottom"/>
          </w:tcPr>
          <w:p w:rsidR="006347A7" w:rsidRPr="005B7A42" w:rsidRDefault="006347A7" w:rsidP="0047564E">
            <w:pPr>
              <w:pStyle w:val="BodyText"/>
              <w:spacing w:before="40" w:after="20" w:line="240" w:lineRule="auto"/>
              <w:jc w:val="center"/>
              <w:rPr>
                <w:rFonts w:ascii="Arial" w:hAnsi="Arial" w:cs="Arial"/>
                <w:sz w:val="16"/>
                <w:szCs w:val="18"/>
              </w:rPr>
            </w:pPr>
            <w:r w:rsidRPr="005B7A42">
              <w:rPr>
                <w:rFonts w:ascii="Arial" w:hAnsi="Arial" w:cs="Arial"/>
                <w:sz w:val="16"/>
                <w:szCs w:val="18"/>
              </w:rPr>
              <w:t>Was on benefit</w:t>
            </w:r>
            <w:r>
              <w:rPr>
                <w:rFonts w:ascii="Arial" w:hAnsi="Arial" w:cs="Arial"/>
                <w:sz w:val="16"/>
                <w:szCs w:val="18"/>
              </w:rPr>
              <w:t xml:space="preserve"> prior to study</w:t>
            </w:r>
          </w:p>
        </w:tc>
        <w:tc>
          <w:tcPr>
            <w:tcW w:w="812" w:type="dxa"/>
            <w:vMerge w:val="restart"/>
            <w:tcBorders>
              <w:top w:val="single" w:sz="4" w:space="0" w:color="auto"/>
            </w:tcBorders>
            <w:shd w:val="clear" w:color="auto" w:fill="DDD9C3" w:themeFill="background2" w:themeFillShade="E6"/>
            <w:vAlign w:val="bottom"/>
          </w:tcPr>
          <w:p w:rsidR="006347A7" w:rsidRPr="005B7A42" w:rsidRDefault="006347A7" w:rsidP="00EA48A6">
            <w:pPr>
              <w:pStyle w:val="BodyText"/>
              <w:spacing w:before="40" w:after="20" w:line="240" w:lineRule="auto"/>
              <w:jc w:val="center"/>
              <w:rPr>
                <w:rFonts w:ascii="Arial" w:hAnsi="Arial" w:cs="Arial"/>
                <w:sz w:val="16"/>
                <w:szCs w:val="18"/>
              </w:rPr>
            </w:pPr>
            <w:r w:rsidRPr="005B7A42">
              <w:rPr>
                <w:rFonts w:ascii="Arial" w:hAnsi="Arial" w:cs="Arial"/>
                <w:sz w:val="16"/>
                <w:szCs w:val="18"/>
              </w:rPr>
              <w:t>Had student loan</w:t>
            </w:r>
          </w:p>
        </w:tc>
        <w:tc>
          <w:tcPr>
            <w:tcW w:w="281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6347A7" w:rsidRPr="005B7A42" w:rsidRDefault="006347A7" w:rsidP="00A807DB">
            <w:pPr>
              <w:pStyle w:val="BodyText"/>
              <w:spacing w:before="40" w:after="20" w:line="240" w:lineRule="auto"/>
              <w:jc w:val="center"/>
              <w:rPr>
                <w:rFonts w:ascii="Arial" w:hAnsi="Arial" w:cs="Arial"/>
                <w:sz w:val="16"/>
                <w:szCs w:val="18"/>
              </w:rPr>
            </w:pPr>
            <w:r w:rsidRPr="005B7A42">
              <w:rPr>
                <w:rFonts w:ascii="Arial" w:hAnsi="Arial" w:cs="Arial"/>
                <w:sz w:val="16"/>
                <w:szCs w:val="18"/>
              </w:rPr>
              <w:t xml:space="preserve">Income before </w:t>
            </w:r>
            <w:r>
              <w:rPr>
                <w:rFonts w:ascii="Arial" w:hAnsi="Arial" w:cs="Arial"/>
                <w:sz w:val="16"/>
                <w:szCs w:val="18"/>
              </w:rPr>
              <w:t>starting study for post-completion income distribution</w:t>
            </w:r>
            <w:r>
              <w:rPr>
                <w:rFonts w:ascii="Arial" w:hAnsi="Arial" w:cs="Arial"/>
                <w:sz w:val="16"/>
                <w:szCs w:val="18"/>
              </w:rPr>
              <w:br/>
              <w:t>($ 000)</w:t>
            </w:r>
          </w:p>
        </w:tc>
        <w:tc>
          <w:tcPr>
            <w:tcW w:w="2702" w:type="dxa"/>
            <w:gridSpan w:val="6"/>
            <w:tcBorders>
              <w:top w:val="single" w:sz="4" w:space="0" w:color="auto"/>
              <w:left w:val="single" w:sz="4" w:space="0" w:color="auto"/>
              <w:bottom w:val="single" w:sz="4" w:space="0" w:color="auto"/>
            </w:tcBorders>
            <w:shd w:val="clear" w:color="auto" w:fill="DDD9C3" w:themeFill="background2" w:themeFillShade="E6"/>
            <w:vAlign w:val="bottom"/>
          </w:tcPr>
          <w:p w:rsidR="006347A7" w:rsidRPr="005B7A42" w:rsidRDefault="006347A7" w:rsidP="0030599C">
            <w:pPr>
              <w:pStyle w:val="BodyText"/>
              <w:spacing w:before="40" w:after="20" w:line="240" w:lineRule="auto"/>
              <w:jc w:val="center"/>
              <w:rPr>
                <w:rFonts w:ascii="Arial" w:hAnsi="Arial" w:cs="Arial"/>
                <w:sz w:val="16"/>
                <w:szCs w:val="18"/>
              </w:rPr>
            </w:pPr>
            <w:r>
              <w:rPr>
                <w:rFonts w:ascii="Arial" w:hAnsi="Arial" w:cs="Arial"/>
                <w:sz w:val="16"/>
                <w:szCs w:val="18"/>
              </w:rPr>
              <w:t>Expected income after</w:t>
            </w:r>
            <w:r w:rsidRPr="005B7A42">
              <w:rPr>
                <w:rFonts w:ascii="Arial" w:hAnsi="Arial" w:cs="Arial"/>
                <w:sz w:val="16"/>
                <w:szCs w:val="18"/>
              </w:rPr>
              <w:t xml:space="preserve"> completing</w:t>
            </w:r>
            <w:r>
              <w:rPr>
                <w:rFonts w:ascii="Arial" w:hAnsi="Arial" w:cs="Arial"/>
                <w:sz w:val="16"/>
                <w:szCs w:val="18"/>
              </w:rPr>
              <w:br/>
              <w:t>($ 000)</w:t>
            </w:r>
          </w:p>
        </w:tc>
      </w:tr>
      <w:tr w:rsidR="00563A69" w:rsidRPr="005B7A42" w:rsidTr="0017636B">
        <w:tc>
          <w:tcPr>
            <w:tcW w:w="952" w:type="dxa"/>
            <w:vMerge/>
            <w:tcBorders>
              <w:bottom w:val="single" w:sz="4" w:space="0" w:color="auto"/>
            </w:tcBorders>
            <w:shd w:val="clear" w:color="auto" w:fill="DDD9C3" w:themeFill="background2" w:themeFillShade="E6"/>
            <w:vAlign w:val="bottom"/>
          </w:tcPr>
          <w:p w:rsidR="00563A69" w:rsidRPr="005B7A42" w:rsidRDefault="00563A69" w:rsidP="00EA48A6">
            <w:pPr>
              <w:pStyle w:val="BodyText"/>
              <w:spacing w:before="40" w:after="20" w:line="240" w:lineRule="auto"/>
              <w:jc w:val="center"/>
              <w:rPr>
                <w:rFonts w:ascii="Arial" w:hAnsi="Arial" w:cs="Arial"/>
                <w:sz w:val="16"/>
                <w:szCs w:val="18"/>
              </w:rPr>
            </w:pPr>
          </w:p>
        </w:tc>
        <w:tc>
          <w:tcPr>
            <w:tcW w:w="756" w:type="dxa"/>
            <w:vMerge/>
            <w:tcBorders>
              <w:bottom w:val="single" w:sz="4" w:space="0" w:color="auto"/>
            </w:tcBorders>
            <w:shd w:val="clear" w:color="auto" w:fill="DDD9C3" w:themeFill="background2" w:themeFillShade="E6"/>
            <w:vAlign w:val="bottom"/>
          </w:tcPr>
          <w:p w:rsidR="00563A69" w:rsidRPr="005B7A42" w:rsidRDefault="00563A69" w:rsidP="00EA48A6">
            <w:pPr>
              <w:pStyle w:val="BodyText"/>
              <w:spacing w:before="40" w:after="20" w:line="240" w:lineRule="auto"/>
              <w:jc w:val="center"/>
              <w:rPr>
                <w:rFonts w:ascii="Arial" w:hAnsi="Arial" w:cs="Arial"/>
                <w:sz w:val="16"/>
                <w:szCs w:val="18"/>
              </w:rPr>
            </w:pPr>
          </w:p>
        </w:tc>
        <w:tc>
          <w:tcPr>
            <w:tcW w:w="798" w:type="dxa"/>
            <w:vMerge/>
            <w:tcBorders>
              <w:bottom w:val="single" w:sz="4" w:space="0" w:color="auto"/>
            </w:tcBorders>
            <w:shd w:val="clear" w:color="auto" w:fill="DDD9C3" w:themeFill="background2" w:themeFillShade="E6"/>
            <w:vAlign w:val="bottom"/>
          </w:tcPr>
          <w:p w:rsidR="00563A69" w:rsidRPr="005B7A42" w:rsidRDefault="00563A69" w:rsidP="00AF3803">
            <w:pPr>
              <w:pStyle w:val="BodyText"/>
              <w:spacing w:before="40" w:after="20" w:line="240" w:lineRule="auto"/>
              <w:jc w:val="center"/>
              <w:rPr>
                <w:rFonts w:ascii="Arial" w:hAnsi="Arial" w:cs="Arial"/>
                <w:sz w:val="16"/>
                <w:szCs w:val="18"/>
              </w:rPr>
            </w:pPr>
          </w:p>
        </w:tc>
        <w:tc>
          <w:tcPr>
            <w:tcW w:w="812" w:type="dxa"/>
            <w:vMerge/>
            <w:tcBorders>
              <w:bottom w:val="single" w:sz="4" w:space="0" w:color="auto"/>
            </w:tcBorders>
            <w:shd w:val="clear" w:color="auto" w:fill="DDD9C3" w:themeFill="background2" w:themeFillShade="E6"/>
            <w:vAlign w:val="bottom"/>
          </w:tcPr>
          <w:p w:rsidR="00563A69" w:rsidRPr="005B7A42" w:rsidRDefault="00563A69" w:rsidP="00EA48A6">
            <w:pPr>
              <w:pStyle w:val="BodyText"/>
              <w:spacing w:before="40" w:after="20" w:line="240" w:lineRule="auto"/>
              <w:jc w:val="center"/>
              <w:rPr>
                <w:rFonts w:ascii="Arial" w:hAnsi="Arial" w:cs="Arial"/>
                <w:sz w:val="16"/>
                <w:szCs w:val="18"/>
              </w:rPr>
            </w:pPr>
          </w:p>
        </w:tc>
        <w:tc>
          <w:tcPr>
            <w:tcW w:w="656"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6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700"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30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586" w:type="dxa"/>
            <w:tcBorders>
              <w:top w:val="single" w:sz="4" w:space="0" w:color="auto"/>
              <w:bottom w:val="single" w:sz="4" w:space="0" w:color="auto"/>
            </w:tcBorders>
            <w:shd w:val="clear" w:color="auto" w:fill="DDD9C3" w:themeFill="background2" w:themeFillShade="E6"/>
            <w:vAlign w:val="bottom"/>
          </w:tcPr>
          <w:p w:rsidR="00563A69" w:rsidRPr="005B7A42" w:rsidRDefault="0030599C" w:rsidP="00D72A90">
            <w:pPr>
              <w:pStyle w:val="BodyText"/>
              <w:spacing w:before="40" w:after="20" w:line="240" w:lineRule="auto"/>
              <w:jc w:val="right"/>
              <w:rPr>
                <w:rFonts w:ascii="Arial" w:hAnsi="Arial" w:cs="Arial"/>
                <w:sz w:val="16"/>
                <w:szCs w:val="18"/>
              </w:rPr>
            </w:pPr>
            <w:r>
              <w:rPr>
                <w:rFonts w:ascii="Arial" w:hAnsi="Arial" w:cs="Arial"/>
                <w:sz w:val="16"/>
                <w:szCs w:val="18"/>
              </w:rPr>
              <w:t>7</w:t>
            </w:r>
            <w:r w:rsidR="00563A69">
              <w:rPr>
                <w:rFonts w:ascii="Arial" w:hAnsi="Arial" w:cs="Arial"/>
                <w:sz w:val="16"/>
                <w:szCs w:val="18"/>
              </w:rPr>
              <w:t>5</w:t>
            </w:r>
            <w:r w:rsidR="00563A69" w:rsidRPr="00563A69">
              <w:rPr>
                <w:rFonts w:ascii="Arial" w:hAnsi="Arial" w:cs="Arial"/>
                <w:sz w:val="16"/>
                <w:szCs w:val="18"/>
                <w:vertAlign w:val="superscript"/>
              </w:rPr>
              <w:t>th</w:t>
            </w:r>
          </w:p>
        </w:tc>
        <w:tc>
          <w:tcPr>
            <w:tcW w:w="295" w:type="dxa"/>
            <w:tcBorders>
              <w:top w:val="single" w:sz="4" w:space="0" w:color="auto"/>
              <w:bottom w:val="single" w:sz="4" w:space="0" w:color="auto"/>
              <w:right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20"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5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9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0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r>
      <w:tr w:rsidR="00AF3803" w:rsidRPr="005B7A42" w:rsidTr="0017636B">
        <w:tc>
          <w:tcPr>
            <w:tcW w:w="952" w:type="dxa"/>
            <w:tcBorders>
              <w:top w:val="single" w:sz="4" w:space="0" w:color="auto"/>
            </w:tcBorders>
          </w:tcPr>
          <w:p w:rsidR="00AF3803" w:rsidRPr="005B7A42" w:rsidRDefault="00AF3803" w:rsidP="00681689">
            <w:pPr>
              <w:pStyle w:val="BodyText"/>
              <w:spacing w:before="40" w:after="20" w:line="240" w:lineRule="auto"/>
              <w:jc w:val="center"/>
              <w:rPr>
                <w:rFonts w:ascii="Arial" w:hAnsi="Arial" w:cs="Arial"/>
                <w:sz w:val="16"/>
                <w:szCs w:val="18"/>
              </w:rPr>
            </w:pPr>
            <w:r w:rsidRPr="005B7A42">
              <w:rPr>
                <w:rFonts w:ascii="Arial" w:hAnsi="Arial" w:cs="Arial"/>
                <w:sz w:val="16"/>
                <w:szCs w:val="18"/>
              </w:rPr>
              <w:t>20</w:t>
            </w:r>
          </w:p>
        </w:tc>
        <w:tc>
          <w:tcPr>
            <w:tcW w:w="756" w:type="dxa"/>
            <w:tcBorders>
              <w:top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98"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19.01</w:t>
            </w:r>
          </w:p>
        </w:tc>
        <w:tc>
          <w:tcPr>
            <w:tcW w:w="268" w:type="dxa"/>
            <w:tcBorders>
              <w:top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top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32.64</w:t>
            </w:r>
          </w:p>
        </w:tc>
        <w:tc>
          <w:tcPr>
            <w:tcW w:w="308" w:type="dxa"/>
            <w:tcBorders>
              <w:top w:val="single"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39.89</w:t>
            </w:r>
          </w:p>
        </w:tc>
        <w:tc>
          <w:tcPr>
            <w:tcW w:w="295" w:type="dxa"/>
            <w:tcBorders>
              <w:top w:val="single" w:sz="4" w:space="0" w:color="auto"/>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single" w:sz="4" w:space="0" w:color="auto"/>
              <w:left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21.37</w:t>
            </w:r>
          </w:p>
        </w:tc>
        <w:tc>
          <w:tcPr>
            <w:tcW w:w="252" w:type="dxa"/>
            <w:tcBorders>
              <w:top w:val="single"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38.18</w:t>
            </w:r>
          </w:p>
        </w:tc>
        <w:tc>
          <w:tcPr>
            <w:tcW w:w="266" w:type="dxa"/>
            <w:tcBorders>
              <w:top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47.44</w:t>
            </w:r>
          </w:p>
        </w:tc>
        <w:tc>
          <w:tcPr>
            <w:tcW w:w="266" w:type="dxa"/>
            <w:tcBorders>
              <w:top w:val="single"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r>
              <w:rPr>
                <w:rFonts w:ascii="Arial" w:hAnsi="Arial" w:cs="Arial"/>
                <w:sz w:val="16"/>
                <w:szCs w:val="18"/>
              </w:rPr>
              <w:t>(n=3,342)</w:t>
            </w: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17.84</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26.02</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33.63</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21.15</w:t>
            </w:r>
          </w:p>
        </w:tc>
        <w:tc>
          <w:tcPr>
            <w:tcW w:w="252" w:type="dxa"/>
            <w:shd w:val="clear" w:color="auto" w:fill="DDD9C3" w:themeFill="background2" w:themeFillShade="E6"/>
          </w:tcPr>
          <w:p w:rsidR="00AF3803" w:rsidRPr="005B7A42" w:rsidRDefault="00AF3803" w:rsidP="00A03F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33.90</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41.33</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10.61</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14.32</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18.00</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14.43</w:t>
            </w:r>
          </w:p>
        </w:tc>
        <w:tc>
          <w:tcPr>
            <w:tcW w:w="252"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16.71</w:t>
            </w:r>
          </w:p>
        </w:tc>
        <w:tc>
          <w:tcPr>
            <w:tcW w:w="266"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29.01</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9.29</w:t>
            </w:r>
          </w:p>
        </w:tc>
        <w:tc>
          <w:tcPr>
            <w:tcW w:w="26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11.42</w:t>
            </w:r>
          </w:p>
        </w:tc>
        <w:tc>
          <w:tcPr>
            <w:tcW w:w="30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16.03</w:t>
            </w:r>
          </w:p>
        </w:tc>
        <w:tc>
          <w:tcPr>
            <w:tcW w:w="295" w:type="dxa"/>
            <w:tcBorders>
              <w:bottom w:val="dotted"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12.37</w:t>
            </w:r>
          </w:p>
        </w:tc>
        <w:tc>
          <w:tcPr>
            <w:tcW w:w="252"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19.82</w:t>
            </w:r>
          </w:p>
        </w:tc>
        <w:tc>
          <w:tcPr>
            <w:tcW w:w="26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30.75</w:t>
            </w:r>
          </w:p>
        </w:tc>
        <w:tc>
          <w:tcPr>
            <w:tcW w:w="26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top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98"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2.81</w:t>
            </w:r>
          </w:p>
        </w:tc>
        <w:tc>
          <w:tcPr>
            <w:tcW w:w="268"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700" w:type="dxa"/>
            <w:tcBorders>
              <w:top w:val="dotted"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20.03</w:t>
            </w:r>
          </w:p>
        </w:tc>
        <w:tc>
          <w:tcPr>
            <w:tcW w:w="308"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dotted"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29.83</w:t>
            </w:r>
          </w:p>
        </w:tc>
        <w:tc>
          <w:tcPr>
            <w:tcW w:w="295" w:type="dxa"/>
            <w:tcBorders>
              <w:top w:val="dotted" w:sz="4" w:space="0" w:color="auto"/>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dotted" w:sz="4" w:space="0" w:color="auto"/>
              <w:left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2.18</w:t>
            </w:r>
          </w:p>
        </w:tc>
        <w:tc>
          <w:tcPr>
            <w:tcW w:w="252"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dotted"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20.91</w:t>
            </w:r>
          </w:p>
        </w:tc>
        <w:tc>
          <w:tcPr>
            <w:tcW w:w="266"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dotted"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34.31</w:t>
            </w:r>
          </w:p>
        </w:tc>
        <w:tc>
          <w:tcPr>
            <w:tcW w:w="266"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8.81</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19.46</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28.01</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11.79</w:t>
            </w:r>
          </w:p>
        </w:tc>
        <w:tc>
          <w:tcPr>
            <w:tcW w:w="252" w:type="dxa"/>
            <w:shd w:val="clear" w:color="auto" w:fill="DDD9C3" w:themeFill="background2" w:themeFillShade="E6"/>
          </w:tcPr>
          <w:p w:rsidR="00AF3803" w:rsidRPr="005B7A42" w:rsidRDefault="00AF3803" w:rsidP="00A03F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22.39</w:t>
            </w:r>
          </w:p>
        </w:tc>
        <w:tc>
          <w:tcPr>
            <w:tcW w:w="266" w:type="dxa"/>
            <w:shd w:val="clear" w:color="auto" w:fill="DDD9C3" w:themeFill="background2" w:themeFillShade="E6"/>
          </w:tcPr>
          <w:p w:rsidR="00AF3803" w:rsidRPr="005B7A42" w:rsidRDefault="00A03F5F"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r w:rsidR="00AF3803">
              <w:rPr>
                <w:rFonts w:ascii="Arial" w:hAnsi="Arial" w:cs="Arial"/>
                <w:sz w:val="16"/>
                <w:szCs w:val="18"/>
              </w:rPr>
              <w:t>*</w:t>
            </w:r>
          </w:p>
        </w:tc>
        <w:tc>
          <w:tcPr>
            <w:tcW w:w="602" w:type="dxa"/>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33.12</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14.12</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16.32</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18.28</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14.43</w:t>
            </w:r>
          </w:p>
        </w:tc>
        <w:tc>
          <w:tcPr>
            <w:tcW w:w="252"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16.73</w:t>
            </w:r>
          </w:p>
        </w:tc>
        <w:tc>
          <w:tcPr>
            <w:tcW w:w="266"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ns</w:t>
            </w:r>
          </w:p>
        </w:tc>
        <w:tc>
          <w:tcPr>
            <w:tcW w:w="602" w:type="dxa"/>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22.33</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Borders>
              <w:bottom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12.11</w:t>
            </w:r>
          </w:p>
        </w:tc>
        <w:tc>
          <w:tcPr>
            <w:tcW w:w="26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16.38</w:t>
            </w:r>
          </w:p>
        </w:tc>
        <w:tc>
          <w:tcPr>
            <w:tcW w:w="30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18.26</w:t>
            </w:r>
          </w:p>
        </w:tc>
        <w:tc>
          <w:tcPr>
            <w:tcW w:w="295" w:type="dxa"/>
            <w:tcBorders>
              <w:bottom w:val="single"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14.65</w:t>
            </w:r>
          </w:p>
        </w:tc>
        <w:tc>
          <w:tcPr>
            <w:tcW w:w="25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single"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17.08</w:t>
            </w:r>
          </w:p>
        </w:tc>
        <w:tc>
          <w:tcPr>
            <w:tcW w:w="26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5B7A42" w:rsidRDefault="001E19F7"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24.93</w:t>
            </w:r>
          </w:p>
        </w:tc>
        <w:tc>
          <w:tcPr>
            <w:tcW w:w="26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Borders>
              <w:top w:val="single" w:sz="4" w:space="0" w:color="auto"/>
            </w:tcBorders>
          </w:tcPr>
          <w:p w:rsidR="00AF3803" w:rsidRPr="005B7A42" w:rsidRDefault="00AF3803" w:rsidP="00681689">
            <w:pPr>
              <w:pStyle w:val="BodyText"/>
              <w:spacing w:before="40" w:after="20" w:line="240" w:lineRule="auto"/>
              <w:jc w:val="center"/>
              <w:rPr>
                <w:rFonts w:ascii="Arial" w:hAnsi="Arial" w:cs="Arial"/>
                <w:sz w:val="16"/>
                <w:szCs w:val="18"/>
              </w:rPr>
            </w:pPr>
            <w:r w:rsidRPr="005B7A42">
              <w:rPr>
                <w:rFonts w:ascii="Arial" w:hAnsi="Arial" w:cs="Arial"/>
                <w:sz w:val="16"/>
                <w:szCs w:val="18"/>
              </w:rPr>
              <w:t>30</w:t>
            </w:r>
          </w:p>
        </w:tc>
        <w:tc>
          <w:tcPr>
            <w:tcW w:w="756" w:type="dxa"/>
            <w:tcBorders>
              <w:top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98"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28.18</w:t>
            </w:r>
          </w:p>
        </w:tc>
        <w:tc>
          <w:tcPr>
            <w:tcW w:w="268" w:type="dxa"/>
            <w:tcBorders>
              <w:top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top w:val="single" w:sz="4" w:space="0" w:color="auto"/>
            </w:tcBorders>
          </w:tcPr>
          <w:p w:rsidR="00AF3803" w:rsidRPr="005B7A42" w:rsidRDefault="00AF3803" w:rsidP="005B7A42">
            <w:pPr>
              <w:pStyle w:val="BodyText"/>
              <w:spacing w:before="40" w:after="20" w:line="240" w:lineRule="auto"/>
              <w:ind w:right="-60"/>
              <w:jc w:val="right"/>
              <w:rPr>
                <w:rFonts w:ascii="Arial" w:hAnsi="Arial" w:cs="Arial"/>
                <w:sz w:val="16"/>
                <w:szCs w:val="18"/>
              </w:rPr>
            </w:pPr>
            <w:r>
              <w:rPr>
                <w:rFonts w:ascii="Arial" w:hAnsi="Arial" w:cs="Arial"/>
                <w:sz w:val="16"/>
                <w:szCs w:val="18"/>
              </w:rPr>
              <w:t>39.96</w:t>
            </w:r>
          </w:p>
        </w:tc>
        <w:tc>
          <w:tcPr>
            <w:tcW w:w="308" w:type="dxa"/>
            <w:tcBorders>
              <w:top w:val="single"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50.60</w:t>
            </w:r>
          </w:p>
        </w:tc>
        <w:tc>
          <w:tcPr>
            <w:tcW w:w="295" w:type="dxa"/>
            <w:tcBorders>
              <w:top w:val="single" w:sz="4" w:space="0" w:color="auto"/>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single" w:sz="4" w:space="0" w:color="auto"/>
              <w:left w:val="single" w:sz="4" w:space="0" w:color="auto"/>
            </w:tcBorders>
          </w:tcPr>
          <w:p w:rsidR="00AF3803" w:rsidRPr="005B7A42" w:rsidRDefault="00FE7CFC" w:rsidP="005B7A42">
            <w:pPr>
              <w:pStyle w:val="BodyText"/>
              <w:spacing w:before="40" w:after="20" w:line="240" w:lineRule="auto"/>
              <w:ind w:right="-60"/>
              <w:jc w:val="right"/>
              <w:rPr>
                <w:rFonts w:ascii="Arial" w:hAnsi="Arial" w:cs="Arial"/>
                <w:sz w:val="16"/>
                <w:szCs w:val="18"/>
              </w:rPr>
            </w:pPr>
            <w:r>
              <w:rPr>
                <w:rFonts w:ascii="Arial" w:hAnsi="Arial" w:cs="Arial"/>
                <w:sz w:val="16"/>
                <w:szCs w:val="18"/>
              </w:rPr>
              <w:t>23.68</w:t>
            </w:r>
          </w:p>
        </w:tc>
        <w:tc>
          <w:tcPr>
            <w:tcW w:w="252" w:type="dxa"/>
            <w:tcBorders>
              <w:top w:val="single"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top w:val="single"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41.59</w:t>
            </w:r>
          </w:p>
        </w:tc>
        <w:tc>
          <w:tcPr>
            <w:tcW w:w="266" w:type="dxa"/>
            <w:tcBorders>
              <w:top w:val="single" w:sz="4" w:space="0" w:color="auto"/>
            </w:tcBorders>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5B7A42" w:rsidRDefault="00FE7CFC" w:rsidP="005B7A42">
            <w:pPr>
              <w:pStyle w:val="BodyText"/>
              <w:spacing w:before="40" w:after="20" w:line="240" w:lineRule="auto"/>
              <w:ind w:right="-60"/>
              <w:jc w:val="right"/>
              <w:rPr>
                <w:rFonts w:ascii="Arial" w:hAnsi="Arial" w:cs="Arial"/>
                <w:sz w:val="16"/>
                <w:szCs w:val="18"/>
              </w:rPr>
            </w:pPr>
            <w:r>
              <w:rPr>
                <w:rFonts w:ascii="Arial" w:hAnsi="Arial" w:cs="Arial"/>
                <w:sz w:val="16"/>
                <w:szCs w:val="18"/>
              </w:rPr>
              <w:t>53.60</w:t>
            </w:r>
          </w:p>
        </w:tc>
        <w:tc>
          <w:tcPr>
            <w:tcW w:w="266" w:type="dxa"/>
            <w:tcBorders>
              <w:top w:val="single" w:sz="4" w:space="0" w:color="auto"/>
            </w:tcBorders>
          </w:tcPr>
          <w:p w:rsidR="00AF3803" w:rsidRPr="005B7A42" w:rsidRDefault="00AF3803" w:rsidP="00A03F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r>
              <w:rPr>
                <w:rFonts w:ascii="Arial" w:hAnsi="Arial" w:cs="Arial"/>
                <w:sz w:val="16"/>
                <w:szCs w:val="18"/>
              </w:rPr>
              <w:t>(n=4,101)</w:t>
            </w: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17.52</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32.77</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41.40</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18.30</w:t>
            </w:r>
          </w:p>
        </w:tc>
        <w:tc>
          <w:tcPr>
            <w:tcW w:w="252"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33.45</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ns</w:t>
            </w:r>
          </w:p>
        </w:tc>
        <w:tc>
          <w:tcPr>
            <w:tcW w:w="602" w:type="dxa"/>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44.45</w:t>
            </w:r>
          </w:p>
        </w:tc>
        <w:tc>
          <w:tcPr>
            <w:tcW w:w="266" w:type="dxa"/>
            <w:shd w:val="clear" w:color="auto" w:fill="DDD9C3" w:themeFill="background2" w:themeFillShade="E6"/>
          </w:tcPr>
          <w:p w:rsidR="00AF3803" w:rsidRPr="005B7A42" w:rsidRDefault="00A03F5F"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11.39</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15.23</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23.92</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14.22</w:t>
            </w:r>
          </w:p>
        </w:tc>
        <w:tc>
          <w:tcPr>
            <w:tcW w:w="252" w:type="dxa"/>
          </w:tcPr>
          <w:p w:rsidR="00AF3803" w:rsidRPr="005B7A42" w:rsidRDefault="00AF3803" w:rsidP="00A03F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22.16</w:t>
            </w:r>
          </w:p>
        </w:tc>
        <w:tc>
          <w:tcPr>
            <w:tcW w:w="266"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39.58</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11.38</w:t>
            </w:r>
          </w:p>
        </w:tc>
        <w:tc>
          <w:tcPr>
            <w:tcW w:w="26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14.57</w:t>
            </w:r>
          </w:p>
        </w:tc>
        <w:tc>
          <w:tcPr>
            <w:tcW w:w="30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18.95</w:t>
            </w:r>
          </w:p>
        </w:tc>
        <w:tc>
          <w:tcPr>
            <w:tcW w:w="295" w:type="dxa"/>
            <w:tcBorders>
              <w:bottom w:val="dotted"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12.70</w:t>
            </w:r>
          </w:p>
        </w:tc>
        <w:tc>
          <w:tcPr>
            <w:tcW w:w="252" w:type="dxa"/>
            <w:tcBorders>
              <w:bottom w:val="dotted" w:sz="4" w:space="0" w:color="auto"/>
            </w:tcBorders>
            <w:shd w:val="clear" w:color="auto" w:fill="DDD9C3" w:themeFill="background2" w:themeFillShade="E6"/>
          </w:tcPr>
          <w:p w:rsidR="00AF3803" w:rsidRPr="005B7A42" w:rsidRDefault="00A03F5F" w:rsidP="00A03F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18.89</w:t>
            </w:r>
          </w:p>
        </w:tc>
        <w:tc>
          <w:tcPr>
            <w:tcW w:w="26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32.57</w:t>
            </w:r>
          </w:p>
        </w:tc>
        <w:tc>
          <w:tcPr>
            <w:tcW w:w="26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top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98"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5.04</w:t>
            </w:r>
          </w:p>
        </w:tc>
        <w:tc>
          <w:tcPr>
            <w:tcW w:w="268"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700" w:type="dxa"/>
            <w:tcBorders>
              <w:top w:val="dotted"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20.28</w:t>
            </w:r>
          </w:p>
        </w:tc>
        <w:tc>
          <w:tcPr>
            <w:tcW w:w="308"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dotted"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37.51</w:t>
            </w:r>
          </w:p>
        </w:tc>
        <w:tc>
          <w:tcPr>
            <w:tcW w:w="295" w:type="dxa"/>
            <w:tcBorders>
              <w:top w:val="dotted" w:sz="4" w:space="0" w:color="auto"/>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dotted" w:sz="4" w:space="0" w:color="auto"/>
              <w:left w:val="single"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9.25</w:t>
            </w:r>
          </w:p>
        </w:tc>
        <w:tc>
          <w:tcPr>
            <w:tcW w:w="252"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top w:val="dotted"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22.84</w:t>
            </w:r>
          </w:p>
        </w:tc>
        <w:tc>
          <w:tcPr>
            <w:tcW w:w="266" w:type="dxa"/>
            <w:tcBorders>
              <w:top w:val="dotted" w:sz="4" w:space="0" w:color="auto"/>
            </w:tcBorders>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37.69</w:t>
            </w:r>
          </w:p>
        </w:tc>
        <w:tc>
          <w:tcPr>
            <w:tcW w:w="266"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4.16</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12.99</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30.01</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6.96</w:t>
            </w:r>
          </w:p>
        </w:tc>
        <w:tc>
          <w:tcPr>
            <w:tcW w:w="252" w:type="dxa"/>
            <w:shd w:val="clear" w:color="auto" w:fill="DDD9C3" w:themeFill="background2" w:themeFillShade="E6"/>
          </w:tcPr>
          <w:p w:rsidR="00AF3803" w:rsidRPr="005B7A42" w:rsidRDefault="00A03F5F"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20.30</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34.42</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15.67</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18.14</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20.59</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14.80</w:t>
            </w:r>
          </w:p>
        </w:tc>
        <w:tc>
          <w:tcPr>
            <w:tcW w:w="252" w:type="dxa"/>
          </w:tcPr>
          <w:p w:rsidR="00AF3803" w:rsidRPr="005B7A42" w:rsidRDefault="00A03F5F"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18.12</w:t>
            </w:r>
          </w:p>
        </w:tc>
        <w:tc>
          <w:tcPr>
            <w:tcW w:w="266"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ns</w:t>
            </w:r>
          </w:p>
        </w:tc>
        <w:tc>
          <w:tcPr>
            <w:tcW w:w="602" w:type="dxa"/>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25.02</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Borders>
              <w:bottom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16.09</w:t>
            </w:r>
          </w:p>
        </w:tc>
        <w:tc>
          <w:tcPr>
            <w:tcW w:w="26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17.97</w:t>
            </w:r>
          </w:p>
        </w:tc>
        <w:tc>
          <w:tcPr>
            <w:tcW w:w="30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19.66</w:t>
            </w:r>
          </w:p>
        </w:tc>
        <w:tc>
          <w:tcPr>
            <w:tcW w:w="295" w:type="dxa"/>
            <w:tcBorders>
              <w:bottom w:val="single"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15.81</w:t>
            </w:r>
          </w:p>
        </w:tc>
        <w:tc>
          <w:tcPr>
            <w:tcW w:w="25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single"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18.82</w:t>
            </w:r>
          </w:p>
        </w:tc>
        <w:tc>
          <w:tcPr>
            <w:tcW w:w="266" w:type="dxa"/>
            <w:tcBorders>
              <w:bottom w:val="single" w:sz="4" w:space="0" w:color="auto"/>
            </w:tcBorders>
            <w:shd w:val="clear" w:color="auto" w:fill="DDD9C3" w:themeFill="background2" w:themeFillShade="E6"/>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5B7A42" w:rsidRDefault="00FE7CFC"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26.72</w:t>
            </w:r>
          </w:p>
        </w:tc>
        <w:tc>
          <w:tcPr>
            <w:tcW w:w="26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Borders>
              <w:top w:val="single" w:sz="4" w:space="0" w:color="auto"/>
            </w:tcBorders>
            <w:vAlign w:val="bottom"/>
          </w:tcPr>
          <w:p w:rsidR="00AF3803" w:rsidRPr="005B7A42" w:rsidRDefault="00AF3803" w:rsidP="00681689">
            <w:pPr>
              <w:pStyle w:val="BodyText"/>
              <w:spacing w:before="40" w:after="20" w:line="240" w:lineRule="auto"/>
              <w:jc w:val="center"/>
              <w:rPr>
                <w:rFonts w:ascii="Arial" w:hAnsi="Arial" w:cs="Arial"/>
                <w:sz w:val="16"/>
                <w:szCs w:val="18"/>
              </w:rPr>
            </w:pPr>
            <w:r>
              <w:rPr>
                <w:rFonts w:ascii="Arial" w:hAnsi="Arial" w:cs="Arial"/>
                <w:sz w:val="16"/>
                <w:szCs w:val="18"/>
              </w:rPr>
              <w:t>40</w:t>
            </w:r>
          </w:p>
        </w:tc>
        <w:tc>
          <w:tcPr>
            <w:tcW w:w="756" w:type="dxa"/>
            <w:tcBorders>
              <w:top w:val="single" w:sz="4" w:space="0" w:color="auto"/>
            </w:tcBorders>
            <w:vAlign w:val="bottom"/>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98" w:type="dxa"/>
            <w:tcBorders>
              <w:top w:val="single"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single" w:sz="4" w:space="0" w:color="auto"/>
            </w:tcBorders>
            <w:vAlign w:val="bottom"/>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vAlign w:val="bottom"/>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20.97</w:t>
            </w:r>
          </w:p>
        </w:tc>
        <w:tc>
          <w:tcPr>
            <w:tcW w:w="268" w:type="dxa"/>
            <w:tcBorders>
              <w:top w:val="single" w:sz="4" w:space="0" w:color="auto"/>
            </w:tcBorders>
            <w:vAlign w:val="bottom"/>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top w:val="single" w:sz="4" w:space="0" w:color="auto"/>
            </w:tcBorders>
            <w:vAlign w:val="bottom"/>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39.98</w:t>
            </w:r>
          </w:p>
        </w:tc>
        <w:tc>
          <w:tcPr>
            <w:tcW w:w="308" w:type="dxa"/>
            <w:tcBorders>
              <w:top w:val="single" w:sz="4" w:space="0" w:color="auto"/>
            </w:tcBorders>
            <w:vAlign w:val="bottom"/>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single" w:sz="4" w:space="0" w:color="auto"/>
            </w:tcBorders>
            <w:vAlign w:val="bottom"/>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52.65</w:t>
            </w:r>
          </w:p>
        </w:tc>
        <w:tc>
          <w:tcPr>
            <w:tcW w:w="295" w:type="dxa"/>
            <w:tcBorders>
              <w:top w:val="single" w:sz="4" w:space="0" w:color="auto"/>
              <w:right w:val="single" w:sz="4" w:space="0" w:color="auto"/>
            </w:tcBorders>
            <w:vAlign w:val="bottom"/>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single" w:sz="4" w:space="0" w:color="auto"/>
              <w:left w:val="single" w:sz="4" w:space="0" w:color="auto"/>
            </w:tcBorders>
            <w:vAlign w:val="bottom"/>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18.50</w:t>
            </w:r>
          </w:p>
        </w:tc>
        <w:tc>
          <w:tcPr>
            <w:tcW w:w="252" w:type="dxa"/>
            <w:tcBorders>
              <w:top w:val="single" w:sz="4" w:space="0" w:color="auto"/>
            </w:tcBorders>
            <w:vAlign w:val="bottom"/>
          </w:tcPr>
          <w:p w:rsidR="00AF3803" w:rsidRPr="005B7A42" w:rsidRDefault="00A03F5F"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vAlign w:val="bottom"/>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40.69</w:t>
            </w:r>
          </w:p>
        </w:tc>
        <w:tc>
          <w:tcPr>
            <w:tcW w:w="266" w:type="dxa"/>
            <w:tcBorders>
              <w:top w:val="single" w:sz="4" w:space="0" w:color="auto"/>
            </w:tcBorders>
            <w:vAlign w:val="bottom"/>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ns</w:t>
            </w:r>
          </w:p>
        </w:tc>
        <w:tc>
          <w:tcPr>
            <w:tcW w:w="602" w:type="dxa"/>
            <w:tcBorders>
              <w:top w:val="single" w:sz="4" w:space="0" w:color="auto"/>
            </w:tcBorders>
            <w:vAlign w:val="bottom"/>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54.98</w:t>
            </w:r>
          </w:p>
        </w:tc>
        <w:tc>
          <w:tcPr>
            <w:tcW w:w="266" w:type="dxa"/>
            <w:tcBorders>
              <w:top w:val="single" w:sz="4" w:space="0" w:color="auto"/>
            </w:tcBorders>
            <w:vAlign w:val="bottom"/>
          </w:tcPr>
          <w:p w:rsidR="00AF3803" w:rsidRPr="005B7A42" w:rsidRDefault="00A03F5F"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r>
              <w:rPr>
                <w:rFonts w:ascii="Arial" w:hAnsi="Arial" w:cs="Arial"/>
                <w:sz w:val="16"/>
                <w:szCs w:val="18"/>
              </w:rPr>
              <w:t>(n=3,738)</w:t>
            </w: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10.46</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27.50</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40.23</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13.49</w:t>
            </w:r>
          </w:p>
        </w:tc>
        <w:tc>
          <w:tcPr>
            <w:tcW w:w="252"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32.93</w:t>
            </w:r>
          </w:p>
        </w:tc>
        <w:tc>
          <w:tcPr>
            <w:tcW w:w="266" w:type="dxa"/>
            <w:shd w:val="clear" w:color="auto" w:fill="DDD9C3" w:themeFill="background2" w:themeFillShade="E6"/>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41.48</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11.39</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14.76</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21.94</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11.95</w:t>
            </w:r>
          </w:p>
        </w:tc>
        <w:tc>
          <w:tcPr>
            <w:tcW w:w="252"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17.03</w:t>
            </w:r>
          </w:p>
        </w:tc>
        <w:tc>
          <w:tcPr>
            <w:tcW w:w="266" w:type="dxa"/>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31.94</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dotted"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11.38</w:t>
            </w:r>
          </w:p>
        </w:tc>
        <w:tc>
          <w:tcPr>
            <w:tcW w:w="26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14.52</w:t>
            </w:r>
          </w:p>
        </w:tc>
        <w:tc>
          <w:tcPr>
            <w:tcW w:w="308"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18.93</w:t>
            </w:r>
          </w:p>
        </w:tc>
        <w:tc>
          <w:tcPr>
            <w:tcW w:w="295" w:type="dxa"/>
            <w:tcBorders>
              <w:bottom w:val="dotted"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11.45</w:t>
            </w:r>
          </w:p>
        </w:tc>
        <w:tc>
          <w:tcPr>
            <w:tcW w:w="252"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dotted"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17.80</w:t>
            </w:r>
          </w:p>
        </w:tc>
        <w:tc>
          <w:tcPr>
            <w:tcW w:w="266" w:type="dxa"/>
            <w:tcBorders>
              <w:bottom w:val="dotted" w:sz="4" w:space="0" w:color="auto"/>
            </w:tcBorders>
            <w:shd w:val="clear" w:color="auto" w:fill="DDD9C3" w:themeFill="background2" w:themeFillShade="E6"/>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27.45</w:t>
            </w:r>
          </w:p>
        </w:tc>
        <w:tc>
          <w:tcPr>
            <w:tcW w:w="266" w:type="dxa"/>
            <w:tcBorders>
              <w:bottom w:val="dotted"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top w:val="dotted" w:sz="4" w:space="0" w:color="auto"/>
            </w:tcBorders>
            <w:vAlign w:val="bottom"/>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98" w:type="dxa"/>
            <w:tcBorders>
              <w:top w:val="dotted"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tcBorders>
              <w:top w:val="dotted" w:sz="4" w:space="0" w:color="auto"/>
            </w:tcBorders>
            <w:vAlign w:val="bottom"/>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5.56</w:t>
            </w:r>
          </w:p>
        </w:tc>
        <w:tc>
          <w:tcPr>
            <w:tcW w:w="268"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700" w:type="dxa"/>
            <w:tcBorders>
              <w:top w:val="dotted" w:sz="4" w:space="0" w:color="auto"/>
            </w:tcBorders>
            <w:vAlign w:val="bottom"/>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19.98</w:t>
            </w:r>
          </w:p>
        </w:tc>
        <w:tc>
          <w:tcPr>
            <w:tcW w:w="308" w:type="dxa"/>
            <w:tcBorders>
              <w:top w:val="dotted" w:sz="4" w:space="0" w:color="auto"/>
            </w:tcBorders>
            <w:vAlign w:val="bottom"/>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top w:val="dotted" w:sz="4" w:space="0" w:color="auto"/>
            </w:tcBorders>
            <w:vAlign w:val="bottom"/>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34.27</w:t>
            </w:r>
          </w:p>
        </w:tc>
        <w:tc>
          <w:tcPr>
            <w:tcW w:w="295" w:type="dxa"/>
            <w:tcBorders>
              <w:top w:val="dotted" w:sz="4" w:space="0" w:color="auto"/>
              <w:right w:val="single" w:sz="4" w:space="0" w:color="auto"/>
            </w:tcBorders>
            <w:vAlign w:val="bottom"/>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top w:val="dotted" w:sz="4" w:space="0" w:color="auto"/>
              <w:left w:val="single" w:sz="4" w:space="0" w:color="auto"/>
            </w:tcBorders>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10.72</w:t>
            </w:r>
          </w:p>
        </w:tc>
        <w:tc>
          <w:tcPr>
            <w:tcW w:w="252" w:type="dxa"/>
            <w:tcBorders>
              <w:top w:val="dotted" w:sz="4" w:space="0" w:color="auto"/>
            </w:tcBorders>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top w:val="dotted" w:sz="4" w:space="0" w:color="auto"/>
            </w:tcBorders>
            <w:vAlign w:val="bottom"/>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24.79</w:t>
            </w:r>
          </w:p>
        </w:tc>
        <w:tc>
          <w:tcPr>
            <w:tcW w:w="266" w:type="dxa"/>
            <w:tcBorders>
              <w:top w:val="dotted" w:sz="4" w:space="0" w:color="auto"/>
            </w:tcBorders>
            <w:vAlign w:val="bottom"/>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vAlign w:val="bottom"/>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38.63</w:t>
            </w:r>
          </w:p>
        </w:tc>
        <w:tc>
          <w:tcPr>
            <w:tcW w:w="266" w:type="dxa"/>
            <w:tcBorders>
              <w:top w:val="dotted" w:sz="4" w:space="0" w:color="auto"/>
            </w:tcBorders>
            <w:vAlign w:val="bottom"/>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812" w:type="dxa"/>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3.55</w:t>
            </w:r>
          </w:p>
        </w:tc>
        <w:tc>
          <w:tcPr>
            <w:tcW w:w="268"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12.76</w:t>
            </w:r>
          </w:p>
        </w:tc>
        <w:tc>
          <w:tcPr>
            <w:tcW w:w="308"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26.59</w:t>
            </w:r>
          </w:p>
        </w:tc>
        <w:tc>
          <w:tcPr>
            <w:tcW w:w="295" w:type="dxa"/>
            <w:tcBorders>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12.02</w:t>
            </w:r>
          </w:p>
        </w:tc>
        <w:tc>
          <w:tcPr>
            <w:tcW w:w="252"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22.08</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32.99</w:t>
            </w:r>
          </w:p>
        </w:tc>
        <w:tc>
          <w:tcPr>
            <w:tcW w:w="266" w:type="dxa"/>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14.76</w:t>
            </w:r>
          </w:p>
        </w:tc>
        <w:tc>
          <w:tcPr>
            <w:tcW w:w="268" w:type="dxa"/>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17.87</w:t>
            </w:r>
          </w:p>
        </w:tc>
        <w:tc>
          <w:tcPr>
            <w:tcW w:w="308"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20.90</w:t>
            </w:r>
          </w:p>
        </w:tc>
        <w:tc>
          <w:tcPr>
            <w:tcW w:w="295" w:type="dxa"/>
            <w:tcBorders>
              <w:right w:val="single" w:sz="4" w:space="0" w:color="auto"/>
            </w:tcBorders>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tcBorders>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14.97</w:t>
            </w:r>
          </w:p>
        </w:tc>
        <w:tc>
          <w:tcPr>
            <w:tcW w:w="252"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19.19</w:t>
            </w:r>
          </w:p>
        </w:tc>
        <w:tc>
          <w:tcPr>
            <w:tcW w:w="266" w:type="dxa"/>
          </w:tcPr>
          <w:p w:rsidR="00AF3803" w:rsidRPr="005B7A42" w:rsidRDefault="00AF3803" w:rsidP="00A03F5F">
            <w:pPr>
              <w:pStyle w:val="BodyText"/>
              <w:spacing w:before="40" w:after="20" w:line="240" w:lineRule="auto"/>
              <w:ind w:left="-114" w:right="-30"/>
              <w:jc w:val="left"/>
              <w:rPr>
                <w:rFonts w:ascii="Arial" w:hAnsi="Arial" w:cs="Arial"/>
                <w:sz w:val="16"/>
                <w:szCs w:val="18"/>
              </w:rPr>
            </w:pPr>
            <w:r>
              <w:rPr>
                <w:rFonts w:ascii="Arial" w:hAnsi="Arial" w:cs="Arial"/>
                <w:sz w:val="16"/>
                <w:szCs w:val="18"/>
              </w:rPr>
              <w:t>*</w:t>
            </w:r>
          </w:p>
        </w:tc>
        <w:tc>
          <w:tcPr>
            <w:tcW w:w="602" w:type="dxa"/>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28.41</w:t>
            </w:r>
          </w:p>
        </w:tc>
        <w:tc>
          <w:tcPr>
            <w:tcW w:w="266" w:type="dxa"/>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7636B">
        <w:tc>
          <w:tcPr>
            <w:tcW w:w="952" w:type="dxa"/>
            <w:tcBorders>
              <w:bottom w:val="single" w:sz="4" w:space="0" w:color="auto"/>
            </w:tcBorders>
            <w:vAlign w:val="bottom"/>
          </w:tcPr>
          <w:p w:rsidR="00AF3803" w:rsidRPr="005B7A42" w:rsidRDefault="00AF3803" w:rsidP="005B7A42">
            <w:pPr>
              <w:pStyle w:val="BodyText"/>
              <w:spacing w:before="40" w:after="20" w:line="240" w:lineRule="auto"/>
              <w:jc w:val="center"/>
              <w:rPr>
                <w:rFonts w:ascii="Arial" w:hAnsi="Arial" w:cs="Arial"/>
                <w:sz w:val="16"/>
                <w:szCs w:val="18"/>
              </w:rPr>
            </w:pPr>
          </w:p>
        </w:tc>
        <w:tc>
          <w:tcPr>
            <w:tcW w:w="756" w:type="dxa"/>
            <w:tcBorders>
              <w:bottom w:val="single" w:sz="4" w:space="0" w:color="auto"/>
            </w:tcBorders>
          </w:tcPr>
          <w:p w:rsidR="00AF3803" w:rsidRPr="005B7A42" w:rsidRDefault="00AF3803" w:rsidP="005B7A42">
            <w:pPr>
              <w:pStyle w:val="BodyText"/>
              <w:spacing w:before="40" w:after="20" w:line="240" w:lineRule="auto"/>
              <w:jc w:val="center"/>
              <w:rPr>
                <w:rFonts w:ascii="Arial" w:hAnsi="Arial" w:cs="Arial"/>
                <w:sz w:val="16"/>
                <w:szCs w:val="18"/>
              </w:rPr>
            </w:pPr>
          </w:p>
        </w:tc>
        <w:tc>
          <w:tcPr>
            <w:tcW w:w="798"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81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14.46</w:t>
            </w:r>
          </w:p>
        </w:tc>
        <w:tc>
          <w:tcPr>
            <w:tcW w:w="26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17.93</w:t>
            </w:r>
          </w:p>
        </w:tc>
        <w:tc>
          <w:tcPr>
            <w:tcW w:w="308"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p>
        </w:tc>
        <w:tc>
          <w:tcPr>
            <w:tcW w:w="58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right="-50"/>
              <w:jc w:val="right"/>
              <w:rPr>
                <w:rFonts w:ascii="Arial" w:hAnsi="Arial" w:cs="Arial"/>
                <w:sz w:val="16"/>
                <w:szCs w:val="18"/>
              </w:rPr>
            </w:pPr>
            <w:r w:rsidRPr="005B7A42">
              <w:rPr>
                <w:rFonts w:ascii="Arial" w:hAnsi="Arial" w:cs="Arial"/>
                <w:sz w:val="16"/>
                <w:szCs w:val="18"/>
              </w:rPr>
              <w:t>20.47</w:t>
            </w:r>
          </w:p>
        </w:tc>
        <w:tc>
          <w:tcPr>
            <w:tcW w:w="295" w:type="dxa"/>
            <w:tcBorders>
              <w:bottom w:val="single" w:sz="4" w:space="0" w:color="auto"/>
              <w:right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14.51</w:t>
            </w:r>
          </w:p>
        </w:tc>
        <w:tc>
          <w:tcPr>
            <w:tcW w:w="252"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single"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18.71</w:t>
            </w:r>
          </w:p>
        </w:tc>
        <w:tc>
          <w:tcPr>
            <w:tcW w:w="26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30"/>
              <w:jc w:val="left"/>
              <w:rPr>
                <w:rFonts w:ascii="Arial" w:hAnsi="Arial" w:cs="Arial"/>
                <w:sz w:val="16"/>
                <w:szCs w:val="18"/>
              </w:rPr>
            </w:pPr>
            <w:r>
              <w:rPr>
                <w:rFonts w:ascii="Arial" w:hAnsi="Arial" w:cs="Arial"/>
                <w:sz w:val="16"/>
                <w:szCs w:val="18"/>
              </w:rPr>
              <w:t>ns</w:t>
            </w:r>
          </w:p>
        </w:tc>
        <w:tc>
          <w:tcPr>
            <w:tcW w:w="602" w:type="dxa"/>
            <w:tcBorders>
              <w:bottom w:val="single" w:sz="4" w:space="0" w:color="auto"/>
            </w:tcBorders>
            <w:shd w:val="clear" w:color="auto" w:fill="DDD9C3" w:themeFill="background2" w:themeFillShade="E6"/>
          </w:tcPr>
          <w:p w:rsidR="00AF3803" w:rsidRPr="005B7A42" w:rsidRDefault="009B401F" w:rsidP="005B7A42">
            <w:pPr>
              <w:pStyle w:val="BodyText"/>
              <w:spacing w:before="40" w:after="20" w:line="240" w:lineRule="auto"/>
              <w:ind w:right="-50"/>
              <w:jc w:val="right"/>
              <w:rPr>
                <w:rFonts w:ascii="Arial" w:hAnsi="Arial" w:cs="Arial"/>
                <w:sz w:val="16"/>
                <w:szCs w:val="18"/>
              </w:rPr>
            </w:pPr>
            <w:r>
              <w:rPr>
                <w:rFonts w:ascii="Arial" w:hAnsi="Arial" w:cs="Arial"/>
                <w:sz w:val="16"/>
                <w:szCs w:val="18"/>
              </w:rPr>
              <w:t>24.47</w:t>
            </w:r>
          </w:p>
        </w:tc>
        <w:tc>
          <w:tcPr>
            <w:tcW w:w="266" w:type="dxa"/>
            <w:tcBorders>
              <w:bottom w:val="single" w:sz="4" w:space="0" w:color="auto"/>
            </w:tcBorders>
            <w:shd w:val="clear" w:color="auto" w:fill="DDD9C3" w:themeFill="background2" w:themeFillShade="E6"/>
          </w:tcPr>
          <w:p w:rsidR="00AF3803" w:rsidRPr="005B7A42" w:rsidRDefault="00AF3803" w:rsidP="005B7A42">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bl>
    <w:p w:rsidR="004D2C0C" w:rsidRPr="004D2C0C" w:rsidRDefault="00960365" w:rsidP="004D2C0C">
      <w:pPr>
        <w:spacing w:before="120" w:after="240"/>
        <w:rPr>
          <w:rFonts w:ascii="Arial" w:hAnsi="Arial" w:cs="Arial"/>
          <w:sz w:val="16"/>
          <w:szCs w:val="16"/>
        </w:rPr>
      </w:pPr>
      <w:r>
        <w:rPr>
          <w:rFonts w:ascii="Arial" w:hAnsi="Arial" w:cs="Arial"/>
          <w:sz w:val="16"/>
          <w:szCs w:val="16"/>
        </w:rPr>
        <w:t xml:space="preserve">The probability (p) that a given </w:t>
      </w:r>
      <w:r w:rsidR="00FE7CFC">
        <w:rPr>
          <w:rFonts w:ascii="Arial" w:hAnsi="Arial" w:cs="Arial"/>
          <w:sz w:val="16"/>
          <w:szCs w:val="16"/>
        </w:rPr>
        <w:t>post-completion income is greater than the income before study is indicated by</w:t>
      </w:r>
      <w:proofErr w:type="gramStart"/>
      <w:r w:rsidR="00FE7CFC">
        <w:rPr>
          <w:rFonts w:ascii="Arial" w:hAnsi="Arial" w:cs="Arial"/>
          <w:sz w:val="16"/>
          <w:szCs w:val="16"/>
        </w:rPr>
        <w:t>:</w:t>
      </w:r>
      <w:proofErr w:type="gramEnd"/>
      <w:r w:rsidR="00FE7CFC">
        <w:rPr>
          <w:rFonts w:ascii="Arial" w:hAnsi="Arial" w:cs="Arial"/>
          <w:sz w:val="16"/>
          <w:szCs w:val="16"/>
        </w:rPr>
        <w:br/>
      </w:r>
      <w:r w:rsidR="0087064C" w:rsidRPr="00E359BE">
        <w:rPr>
          <w:rFonts w:ascii="Arial" w:hAnsi="Arial" w:cs="Arial"/>
          <w:sz w:val="16"/>
          <w:szCs w:val="16"/>
        </w:rPr>
        <w:t xml:space="preserve">*** </w:t>
      </w:r>
      <w:r>
        <w:rPr>
          <w:rFonts w:ascii="Arial" w:hAnsi="Arial" w:cs="Arial"/>
          <w:sz w:val="16"/>
          <w:szCs w:val="16"/>
        </w:rPr>
        <w:t>p&lt;</w:t>
      </w:r>
      <w:r w:rsidR="0087064C" w:rsidRPr="00E359BE">
        <w:rPr>
          <w:rFonts w:ascii="Arial" w:hAnsi="Arial" w:cs="Arial"/>
          <w:sz w:val="16"/>
          <w:szCs w:val="16"/>
        </w:rPr>
        <w:t xml:space="preserve">0.001; ** </w:t>
      </w:r>
      <w:r>
        <w:rPr>
          <w:rFonts w:ascii="Arial" w:hAnsi="Arial" w:cs="Arial"/>
          <w:sz w:val="16"/>
          <w:szCs w:val="16"/>
        </w:rPr>
        <w:t>p&lt;</w:t>
      </w:r>
      <w:r w:rsidR="0087064C" w:rsidRPr="00E359BE">
        <w:rPr>
          <w:rFonts w:ascii="Arial" w:hAnsi="Arial" w:cs="Arial"/>
          <w:sz w:val="16"/>
          <w:szCs w:val="16"/>
        </w:rPr>
        <w:t xml:space="preserve">0.01; * </w:t>
      </w:r>
      <w:r>
        <w:rPr>
          <w:rFonts w:ascii="Arial" w:hAnsi="Arial" w:cs="Arial"/>
          <w:sz w:val="16"/>
          <w:szCs w:val="16"/>
        </w:rPr>
        <w:t>p&lt;</w:t>
      </w:r>
      <w:r w:rsidR="0087064C" w:rsidRPr="00E359BE">
        <w:rPr>
          <w:rFonts w:ascii="Arial" w:hAnsi="Arial" w:cs="Arial"/>
          <w:sz w:val="16"/>
          <w:szCs w:val="16"/>
        </w:rPr>
        <w:t>0.05</w:t>
      </w:r>
      <w:r w:rsidR="0087064C">
        <w:rPr>
          <w:rFonts w:ascii="Arial" w:hAnsi="Arial" w:cs="Arial"/>
          <w:sz w:val="16"/>
          <w:szCs w:val="16"/>
        </w:rPr>
        <w:t>; ns – not significantly different</w:t>
      </w:r>
      <w:r w:rsidR="0087064C" w:rsidRPr="00E359BE">
        <w:rPr>
          <w:rFonts w:ascii="Arial" w:hAnsi="Arial" w:cs="Arial"/>
          <w:sz w:val="16"/>
          <w:szCs w:val="16"/>
        </w:rPr>
        <w:t>.</w:t>
      </w:r>
      <w:r w:rsidR="004D2C0C">
        <w:rPr>
          <w:rFonts w:ascii="Arial" w:hAnsi="Arial" w:cs="Arial"/>
          <w:sz w:val="16"/>
          <w:szCs w:val="16"/>
        </w:rPr>
        <w:br/>
      </w:r>
      <w:r w:rsidR="004D2C0C" w:rsidRPr="004D2C0C">
        <w:rPr>
          <w:rFonts w:ascii="Arial" w:hAnsi="Arial" w:cs="Arial"/>
          <w:sz w:val="16"/>
          <w:szCs w:val="16"/>
        </w:rPr>
        <w:t xml:space="preserve">Source: Statistics New Zealand, Integrated Data Infrastructure, Ministry of Education interpretation. </w:t>
      </w:r>
    </w:p>
    <w:p w:rsidR="0087064C" w:rsidRDefault="0087064C" w:rsidP="0087064C">
      <w:pPr>
        <w:pStyle w:val="BodyText"/>
        <w:spacing w:before="120" w:line="240" w:lineRule="auto"/>
        <w:jc w:val="left"/>
        <w:rPr>
          <w:rFonts w:ascii="Arial" w:hAnsi="Arial" w:cs="Arial"/>
          <w:sz w:val="16"/>
          <w:szCs w:val="16"/>
        </w:rPr>
      </w:pPr>
    </w:p>
    <w:p w:rsidR="00622E1D" w:rsidRDefault="00622E1D">
      <w:pPr>
        <w:rPr>
          <w:rFonts w:ascii="Arial" w:hAnsi="Arial" w:cs="Arial"/>
          <w:b/>
          <w:bCs/>
          <w:sz w:val="20"/>
          <w:szCs w:val="20"/>
        </w:rPr>
      </w:pPr>
      <w:r>
        <w:br w:type="page"/>
      </w:r>
    </w:p>
    <w:p w:rsidR="00A2501E" w:rsidRPr="004D2C0C" w:rsidRDefault="00A2501E" w:rsidP="00A2501E">
      <w:pPr>
        <w:pStyle w:val="Caption"/>
        <w:rPr>
          <w:sz w:val="16"/>
        </w:rPr>
      </w:pPr>
      <w:proofErr w:type="gramStart"/>
      <w:r w:rsidRPr="004D2C0C">
        <w:rPr>
          <w:sz w:val="16"/>
        </w:rPr>
        <w:lastRenderedPageBreak/>
        <w:t xml:space="preserve">Table </w:t>
      </w:r>
      <w:r w:rsidR="0092253D" w:rsidRPr="004D2C0C">
        <w:rPr>
          <w:sz w:val="16"/>
        </w:rPr>
        <w:fldChar w:fldCharType="begin"/>
      </w:r>
      <w:r w:rsidR="00D7504D" w:rsidRPr="004D2C0C">
        <w:rPr>
          <w:sz w:val="16"/>
        </w:rPr>
        <w:instrText xml:space="preserve"> SEQ Table \* ARABIC </w:instrText>
      </w:r>
      <w:r w:rsidR="0092253D" w:rsidRPr="004D2C0C">
        <w:rPr>
          <w:sz w:val="16"/>
        </w:rPr>
        <w:fldChar w:fldCharType="separate"/>
      </w:r>
      <w:r w:rsidR="00D15EF8">
        <w:rPr>
          <w:noProof/>
          <w:sz w:val="16"/>
        </w:rPr>
        <w:t>4</w:t>
      </w:r>
      <w:r w:rsidR="0092253D" w:rsidRPr="004D2C0C">
        <w:rPr>
          <w:sz w:val="16"/>
        </w:rPr>
        <w:fldChar w:fldCharType="end"/>
      </w:r>
      <w:r w:rsidRPr="004D2C0C">
        <w:rPr>
          <w:sz w:val="16"/>
        </w:rPr>
        <w:t>.</w:t>
      </w:r>
      <w:proofErr w:type="gramEnd"/>
      <w:r w:rsidRPr="004D2C0C">
        <w:rPr>
          <w:sz w:val="16"/>
        </w:rPr>
        <w:t xml:space="preserve"> </w:t>
      </w:r>
      <w:r w:rsidR="00AD254B">
        <w:rPr>
          <w:sz w:val="16"/>
        </w:rPr>
        <w:t xml:space="preserve"> </w:t>
      </w:r>
      <w:r w:rsidR="0030599C">
        <w:rPr>
          <w:b w:val="0"/>
          <w:sz w:val="16"/>
        </w:rPr>
        <w:t>Distribution of i</w:t>
      </w:r>
      <w:r w:rsidR="00563A69" w:rsidRPr="004D2C0C">
        <w:rPr>
          <w:b w:val="0"/>
          <w:sz w:val="16"/>
        </w:rPr>
        <w:t xml:space="preserve">ncomes </w:t>
      </w:r>
      <w:r w:rsidR="0098525C" w:rsidRPr="004D2C0C">
        <w:rPr>
          <w:b w:val="0"/>
          <w:sz w:val="16"/>
        </w:rPr>
        <w:t>(in thousands of dollars)</w:t>
      </w:r>
      <w:r w:rsidRPr="004D2C0C">
        <w:rPr>
          <w:b w:val="0"/>
          <w:sz w:val="16"/>
        </w:rPr>
        <w:t xml:space="preserve"> before and after completing a </w:t>
      </w:r>
      <w:r w:rsidRPr="00064063">
        <w:rPr>
          <w:sz w:val="16"/>
        </w:rPr>
        <w:t>certificate at level 4</w:t>
      </w:r>
      <w:r w:rsidRPr="004D2C0C">
        <w:rPr>
          <w:b w:val="0"/>
          <w:sz w:val="16"/>
        </w:rPr>
        <w:t xml:space="preserve">, by age, gender, and student loan and benefit </w:t>
      </w:r>
      <w:r w:rsidR="00AD254B" w:rsidRPr="004D2C0C">
        <w:rPr>
          <w:b w:val="0"/>
          <w:sz w:val="16"/>
        </w:rPr>
        <w:t>status</w:t>
      </w:r>
      <w:r w:rsidR="00AD254B">
        <w:rPr>
          <w:b w:val="0"/>
          <w:sz w:val="16"/>
        </w:rPr>
        <w:t xml:space="preserve"> </w:t>
      </w:r>
    </w:p>
    <w:tbl>
      <w:tblPr>
        <w:tblStyle w:val="TableGrid"/>
        <w:tblW w:w="89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4"/>
        <w:gridCol w:w="839"/>
        <w:gridCol w:w="787"/>
        <w:gridCol w:w="787"/>
        <w:gridCol w:w="656"/>
        <w:gridCol w:w="268"/>
        <w:gridCol w:w="700"/>
        <w:gridCol w:w="308"/>
        <w:gridCol w:w="645"/>
        <w:gridCol w:w="236"/>
        <w:gridCol w:w="620"/>
        <w:gridCol w:w="304"/>
        <w:gridCol w:w="630"/>
        <w:gridCol w:w="266"/>
        <w:gridCol w:w="602"/>
        <w:gridCol w:w="266"/>
      </w:tblGrid>
      <w:tr w:rsidR="006347A7" w:rsidRPr="005B7A42" w:rsidTr="001A24F1">
        <w:tc>
          <w:tcPr>
            <w:tcW w:w="994" w:type="dxa"/>
            <w:vMerge w:val="restart"/>
            <w:tcBorders>
              <w:top w:val="single" w:sz="4" w:space="0" w:color="auto"/>
            </w:tcBorders>
            <w:shd w:val="clear" w:color="auto" w:fill="DDD9C3" w:themeFill="background2" w:themeFillShade="E6"/>
            <w:vAlign w:val="bottom"/>
          </w:tcPr>
          <w:p w:rsidR="006347A7" w:rsidRPr="005B7A42" w:rsidRDefault="006347A7"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Age</w:t>
            </w:r>
            <w:r>
              <w:rPr>
                <w:rFonts w:ascii="Arial" w:hAnsi="Arial" w:cs="Arial"/>
                <w:sz w:val="16"/>
                <w:szCs w:val="18"/>
              </w:rPr>
              <w:t xml:space="preserve"> in 1999</w:t>
            </w:r>
          </w:p>
        </w:tc>
        <w:tc>
          <w:tcPr>
            <w:tcW w:w="839" w:type="dxa"/>
            <w:vMerge w:val="restart"/>
            <w:tcBorders>
              <w:top w:val="single" w:sz="4" w:space="0" w:color="auto"/>
            </w:tcBorders>
            <w:shd w:val="clear" w:color="auto" w:fill="DDD9C3" w:themeFill="background2" w:themeFillShade="E6"/>
            <w:vAlign w:val="bottom"/>
          </w:tcPr>
          <w:p w:rsidR="006347A7" w:rsidRPr="005B7A42" w:rsidRDefault="006347A7"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Gender</w:t>
            </w:r>
          </w:p>
        </w:tc>
        <w:tc>
          <w:tcPr>
            <w:tcW w:w="787" w:type="dxa"/>
            <w:vMerge w:val="restart"/>
            <w:tcBorders>
              <w:top w:val="single" w:sz="4" w:space="0" w:color="auto"/>
            </w:tcBorders>
            <w:shd w:val="clear" w:color="auto" w:fill="DDD9C3" w:themeFill="background2" w:themeFillShade="E6"/>
            <w:vAlign w:val="bottom"/>
          </w:tcPr>
          <w:p w:rsidR="006347A7" w:rsidRPr="005B7A42" w:rsidRDefault="006347A7" w:rsidP="0047564E">
            <w:pPr>
              <w:pStyle w:val="BodyText"/>
              <w:spacing w:before="40" w:after="20" w:line="240" w:lineRule="auto"/>
              <w:jc w:val="center"/>
              <w:rPr>
                <w:rFonts w:ascii="Arial" w:hAnsi="Arial" w:cs="Arial"/>
                <w:sz w:val="16"/>
                <w:szCs w:val="18"/>
              </w:rPr>
            </w:pPr>
            <w:r w:rsidRPr="005B7A42">
              <w:rPr>
                <w:rFonts w:ascii="Arial" w:hAnsi="Arial" w:cs="Arial"/>
                <w:sz w:val="16"/>
                <w:szCs w:val="18"/>
              </w:rPr>
              <w:t>Was on benefit</w:t>
            </w:r>
            <w:r>
              <w:rPr>
                <w:rFonts w:ascii="Arial" w:hAnsi="Arial" w:cs="Arial"/>
                <w:sz w:val="16"/>
                <w:szCs w:val="18"/>
              </w:rPr>
              <w:t xml:space="preserve"> prior to study</w:t>
            </w:r>
          </w:p>
        </w:tc>
        <w:tc>
          <w:tcPr>
            <w:tcW w:w="787" w:type="dxa"/>
            <w:vMerge w:val="restart"/>
            <w:tcBorders>
              <w:top w:val="single" w:sz="4" w:space="0" w:color="auto"/>
            </w:tcBorders>
            <w:shd w:val="clear" w:color="auto" w:fill="DDD9C3" w:themeFill="background2" w:themeFillShade="E6"/>
            <w:vAlign w:val="bottom"/>
          </w:tcPr>
          <w:p w:rsidR="006347A7" w:rsidRPr="005B7A42" w:rsidRDefault="006347A7"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Had student loan</w:t>
            </w:r>
          </w:p>
        </w:tc>
        <w:tc>
          <w:tcPr>
            <w:tcW w:w="281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6347A7" w:rsidRPr="005B7A42" w:rsidRDefault="006347A7" w:rsidP="002B0564">
            <w:pPr>
              <w:pStyle w:val="BodyText"/>
              <w:spacing w:before="40" w:after="20" w:line="240" w:lineRule="auto"/>
              <w:jc w:val="center"/>
              <w:rPr>
                <w:rFonts w:ascii="Arial" w:hAnsi="Arial" w:cs="Arial"/>
                <w:sz w:val="16"/>
                <w:szCs w:val="18"/>
              </w:rPr>
            </w:pPr>
            <w:r w:rsidRPr="005B7A42">
              <w:rPr>
                <w:rFonts w:ascii="Arial" w:hAnsi="Arial" w:cs="Arial"/>
                <w:sz w:val="16"/>
                <w:szCs w:val="18"/>
              </w:rPr>
              <w:t xml:space="preserve">Income before </w:t>
            </w:r>
            <w:r>
              <w:rPr>
                <w:rFonts w:ascii="Arial" w:hAnsi="Arial" w:cs="Arial"/>
                <w:sz w:val="16"/>
                <w:szCs w:val="18"/>
              </w:rPr>
              <w:t>starting study for post-completion income distribution</w:t>
            </w:r>
            <w:r>
              <w:rPr>
                <w:rFonts w:ascii="Arial" w:hAnsi="Arial" w:cs="Arial"/>
                <w:sz w:val="16"/>
                <w:szCs w:val="18"/>
              </w:rPr>
              <w:br/>
              <w:t>($ 000)</w:t>
            </w:r>
          </w:p>
        </w:tc>
        <w:tc>
          <w:tcPr>
            <w:tcW w:w="2688" w:type="dxa"/>
            <w:gridSpan w:val="6"/>
            <w:tcBorders>
              <w:top w:val="single" w:sz="4" w:space="0" w:color="auto"/>
              <w:left w:val="single" w:sz="4" w:space="0" w:color="auto"/>
              <w:bottom w:val="single" w:sz="4" w:space="0" w:color="auto"/>
            </w:tcBorders>
            <w:shd w:val="clear" w:color="auto" w:fill="DDD9C3" w:themeFill="background2" w:themeFillShade="E6"/>
            <w:vAlign w:val="bottom"/>
          </w:tcPr>
          <w:p w:rsidR="006347A7" w:rsidRPr="005B7A42" w:rsidRDefault="006347A7" w:rsidP="002B0564">
            <w:pPr>
              <w:pStyle w:val="BodyText"/>
              <w:spacing w:before="40" w:after="20" w:line="240" w:lineRule="auto"/>
              <w:jc w:val="center"/>
              <w:rPr>
                <w:rFonts w:ascii="Arial" w:hAnsi="Arial" w:cs="Arial"/>
                <w:sz w:val="16"/>
                <w:szCs w:val="18"/>
              </w:rPr>
            </w:pPr>
            <w:r>
              <w:rPr>
                <w:rFonts w:ascii="Arial" w:hAnsi="Arial" w:cs="Arial"/>
                <w:sz w:val="16"/>
                <w:szCs w:val="18"/>
              </w:rPr>
              <w:t>Expected income after</w:t>
            </w:r>
            <w:r w:rsidRPr="005B7A42">
              <w:rPr>
                <w:rFonts w:ascii="Arial" w:hAnsi="Arial" w:cs="Arial"/>
                <w:sz w:val="16"/>
                <w:szCs w:val="18"/>
              </w:rPr>
              <w:t xml:space="preserve"> completing</w:t>
            </w:r>
            <w:r>
              <w:rPr>
                <w:rFonts w:ascii="Arial" w:hAnsi="Arial" w:cs="Arial"/>
                <w:sz w:val="16"/>
                <w:szCs w:val="18"/>
              </w:rPr>
              <w:br/>
              <w:t>($ 000)</w:t>
            </w:r>
          </w:p>
        </w:tc>
      </w:tr>
      <w:tr w:rsidR="00563A69" w:rsidRPr="005B7A42" w:rsidTr="001A24F1">
        <w:tc>
          <w:tcPr>
            <w:tcW w:w="994" w:type="dxa"/>
            <w:vMerge/>
            <w:tcBorders>
              <w:bottom w:val="single" w:sz="4" w:space="0" w:color="auto"/>
            </w:tcBorders>
            <w:shd w:val="clear" w:color="auto" w:fill="DDD9C3" w:themeFill="background2" w:themeFillShade="E6"/>
            <w:vAlign w:val="bottom"/>
          </w:tcPr>
          <w:p w:rsidR="00563A69" w:rsidRPr="005B7A42" w:rsidRDefault="00563A69" w:rsidP="00FA2ECF">
            <w:pPr>
              <w:pStyle w:val="BodyText"/>
              <w:spacing w:before="40" w:after="20" w:line="240" w:lineRule="auto"/>
              <w:jc w:val="center"/>
              <w:rPr>
                <w:rFonts w:ascii="Arial" w:hAnsi="Arial" w:cs="Arial"/>
                <w:sz w:val="16"/>
                <w:szCs w:val="18"/>
              </w:rPr>
            </w:pPr>
          </w:p>
        </w:tc>
        <w:tc>
          <w:tcPr>
            <w:tcW w:w="839" w:type="dxa"/>
            <w:vMerge/>
            <w:tcBorders>
              <w:bottom w:val="single" w:sz="4" w:space="0" w:color="auto"/>
            </w:tcBorders>
            <w:shd w:val="clear" w:color="auto" w:fill="DDD9C3" w:themeFill="background2" w:themeFillShade="E6"/>
            <w:vAlign w:val="bottom"/>
          </w:tcPr>
          <w:p w:rsidR="00563A69" w:rsidRPr="005B7A42" w:rsidRDefault="00563A69" w:rsidP="00FA2ECF">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AF3803">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FA2ECF">
            <w:pPr>
              <w:pStyle w:val="BodyText"/>
              <w:spacing w:before="40" w:after="20" w:line="240" w:lineRule="auto"/>
              <w:jc w:val="center"/>
              <w:rPr>
                <w:rFonts w:ascii="Arial" w:hAnsi="Arial" w:cs="Arial"/>
                <w:sz w:val="16"/>
                <w:szCs w:val="18"/>
              </w:rPr>
            </w:pPr>
          </w:p>
        </w:tc>
        <w:tc>
          <w:tcPr>
            <w:tcW w:w="656"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6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700"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30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45"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36" w:type="dxa"/>
            <w:tcBorders>
              <w:top w:val="single" w:sz="4" w:space="0" w:color="auto"/>
              <w:bottom w:val="single" w:sz="4" w:space="0" w:color="auto"/>
              <w:right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20"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304"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30"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0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r>
      <w:tr w:rsidR="00AF3803" w:rsidRPr="005B7A42" w:rsidTr="001A24F1">
        <w:tc>
          <w:tcPr>
            <w:tcW w:w="994"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20</w:t>
            </w:r>
          </w:p>
        </w:tc>
        <w:tc>
          <w:tcPr>
            <w:tcW w:w="839"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24.41</w:t>
            </w:r>
          </w:p>
        </w:tc>
        <w:tc>
          <w:tcPr>
            <w:tcW w:w="268" w:type="dxa"/>
            <w:tcBorders>
              <w:top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33.29</w:t>
            </w:r>
          </w:p>
        </w:tc>
        <w:tc>
          <w:tcPr>
            <w:tcW w:w="308" w:type="dxa"/>
            <w:tcBorders>
              <w:top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42.34</w:t>
            </w:r>
          </w:p>
        </w:tc>
        <w:tc>
          <w:tcPr>
            <w:tcW w:w="236" w:type="dxa"/>
            <w:tcBorders>
              <w:top w:val="single" w:sz="4" w:space="0" w:color="auto"/>
              <w:righ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vAlign w:val="center"/>
          </w:tcPr>
          <w:p w:rsidR="00AF3803" w:rsidRPr="009F654D" w:rsidRDefault="003C0E23"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25.85</w:t>
            </w:r>
          </w:p>
        </w:tc>
        <w:tc>
          <w:tcPr>
            <w:tcW w:w="304" w:type="dxa"/>
            <w:tcBorders>
              <w:top w:val="single" w:sz="4" w:space="0" w:color="auto"/>
            </w:tcBorders>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top w:val="single" w:sz="4" w:space="0" w:color="auto"/>
            </w:tcBorders>
            <w:vAlign w:val="center"/>
          </w:tcPr>
          <w:p w:rsidR="00AF3803" w:rsidRPr="009F654D" w:rsidRDefault="003C0E23"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40.10</w:t>
            </w:r>
          </w:p>
        </w:tc>
        <w:tc>
          <w:tcPr>
            <w:tcW w:w="266" w:type="dxa"/>
            <w:tcBorders>
              <w:top w:val="single" w:sz="4" w:space="0" w:color="auto"/>
            </w:tcBorders>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vAlign w:val="center"/>
          </w:tcPr>
          <w:p w:rsidR="00AF3803" w:rsidRPr="009F654D" w:rsidRDefault="003C0E23"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50.01</w:t>
            </w:r>
          </w:p>
        </w:tc>
        <w:tc>
          <w:tcPr>
            <w:tcW w:w="266" w:type="dxa"/>
            <w:tcBorders>
              <w:top w:val="single" w:sz="4" w:space="0" w:color="auto"/>
            </w:tcBorders>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A2501E">
            <w:pPr>
              <w:pStyle w:val="BodyText"/>
              <w:spacing w:before="40" w:after="20" w:line="240" w:lineRule="auto"/>
              <w:jc w:val="center"/>
              <w:rPr>
                <w:rFonts w:ascii="Arial" w:hAnsi="Arial" w:cs="Arial"/>
                <w:sz w:val="16"/>
                <w:szCs w:val="18"/>
              </w:rPr>
            </w:pPr>
            <w:r>
              <w:rPr>
                <w:rFonts w:ascii="Arial" w:hAnsi="Arial" w:cs="Arial"/>
                <w:sz w:val="16"/>
                <w:szCs w:val="18"/>
              </w:rPr>
              <w:t>(n=1,389)</w:t>
            </w: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18.20</w:t>
            </w:r>
          </w:p>
        </w:tc>
        <w:tc>
          <w:tcPr>
            <w:tcW w:w="268"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27.86</w:t>
            </w:r>
          </w:p>
        </w:tc>
        <w:tc>
          <w:tcPr>
            <w:tcW w:w="308"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34.62</w:t>
            </w:r>
          </w:p>
        </w:tc>
        <w:tc>
          <w:tcPr>
            <w:tcW w:w="236" w:type="dxa"/>
            <w:tcBorders>
              <w:righ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9F654D" w:rsidRDefault="003C0E23"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27.40</w:t>
            </w:r>
          </w:p>
        </w:tc>
        <w:tc>
          <w:tcPr>
            <w:tcW w:w="304" w:type="dxa"/>
            <w:shd w:val="clear" w:color="auto" w:fill="DDD9C3" w:themeFill="background2" w:themeFillShade="E6"/>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shd w:val="clear" w:color="auto" w:fill="DDD9C3" w:themeFill="background2" w:themeFillShade="E6"/>
            <w:vAlign w:val="center"/>
          </w:tcPr>
          <w:p w:rsidR="00AF3803" w:rsidRPr="009F654D" w:rsidRDefault="003C0E23"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35.32</w:t>
            </w:r>
          </w:p>
        </w:tc>
        <w:tc>
          <w:tcPr>
            <w:tcW w:w="266" w:type="dxa"/>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vAlign w:val="center"/>
          </w:tcPr>
          <w:p w:rsidR="00AF3803" w:rsidRPr="009F654D" w:rsidRDefault="003C0E23"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44.99</w:t>
            </w:r>
          </w:p>
        </w:tc>
        <w:tc>
          <w:tcPr>
            <w:tcW w:w="266" w:type="dxa"/>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9.49</w:t>
            </w:r>
          </w:p>
        </w:tc>
        <w:tc>
          <w:tcPr>
            <w:tcW w:w="268"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12.86</w:t>
            </w:r>
          </w:p>
        </w:tc>
        <w:tc>
          <w:tcPr>
            <w:tcW w:w="308"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21.03</w:t>
            </w:r>
          </w:p>
        </w:tc>
        <w:tc>
          <w:tcPr>
            <w:tcW w:w="236" w:type="dxa"/>
            <w:tcBorders>
              <w:righ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9F654D" w:rsidRDefault="003C0E23"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15.89</w:t>
            </w:r>
          </w:p>
        </w:tc>
        <w:tc>
          <w:tcPr>
            <w:tcW w:w="304" w:type="dxa"/>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27.21</w:t>
            </w:r>
          </w:p>
        </w:tc>
        <w:tc>
          <w:tcPr>
            <w:tcW w:w="266" w:type="dxa"/>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34.17</w:t>
            </w:r>
          </w:p>
        </w:tc>
        <w:tc>
          <w:tcPr>
            <w:tcW w:w="266" w:type="dxa"/>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8.96</w:t>
            </w:r>
          </w:p>
        </w:tc>
        <w:tc>
          <w:tcPr>
            <w:tcW w:w="268" w:type="dxa"/>
            <w:tcBorders>
              <w:bottom w:val="dotted"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11.60</w:t>
            </w:r>
          </w:p>
        </w:tc>
        <w:tc>
          <w:tcPr>
            <w:tcW w:w="308" w:type="dxa"/>
            <w:tcBorders>
              <w:bottom w:val="dotted"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16.71</w:t>
            </w:r>
          </w:p>
        </w:tc>
        <w:tc>
          <w:tcPr>
            <w:tcW w:w="236" w:type="dxa"/>
            <w:tcBorders>
              <w:bottom w:val="dotted" w:sz="4" w:space="0" w:color="auto"/>
              <w:righ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vAlign w:val="center"/>
          </w:tcPr>
          <w:p w:rsidR="00AF3803" w:rsidRPr="009F654D" w:rsidRDefault="00AA6CAD"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14.48</w:t>
            </w:r>
          </w:p>
        </w:tc>
        <w:tc>
          <w:tcPr>
            <w:tcW w:w="304" w:type="dxa"/>
            <w:tcBorders>
              <w:bottom w:val="dotted" w:sz="4" w:space="0" w:color="auto"/>
            </w:tcBorders>
            <w:shd w:val="clear" w:color="auto" w:fill="DDD9C3" w:themeFill="background2" w:themeFillShade="E6"/>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tcBorders>
              <w:bottom w:val="dotted" w:sz="4" w:space="0" w:color="auto"/>
            </w:tcBorders>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26.28</w:t>
            </w:r>
          </w:p>
        </w:tc>
        <w:tc>
          <w:tcPr>
            <w:tcW w:w="266" w:type="dxa"/>
            <w:tcBorders>
              <w:bottom w:val="dotted" w:sz="4" w:space="0" w:color="auto"/>
            </w:tcBorders>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36.11</w:t>
            </w:r>
          </w:p>
        </w:tc>
        <w:tc>
          <w:tcPr>
            <w:tcW w:w="266" w:type="dxa"/>
            <w:tcBorders>
              <w:bottom w:val="dotted" w:sz="4" w:space="0" w:color="auto"/>
            </w:tcBorders>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5.96</w:t>
            </w:r>
          </w:p>
        </w:tc>
        <w:tc>
          <w:tcPr>
            <w:tcW w:w="268" w:type="dxa"/>
            <w:tcBorders>
              <w:top w:val="dotted"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22.93</w:t>
            </w:r>
          </w:p>
        </w:tc>
        <w:tc>
          <w:tcPr>
            <w:tcW w:w="308" w:type="dxa"/>
            <w:tcBorders>
              <w:top w:val="dotted"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32.44</w:t>
            </w:r>
          </w:p>
        </w:tc>
        <w:tc>
          <w:tcPr>
            <w:tcW w:w="236" w:type="dxa"/>
            <w:tcBorders>
              <w:top w:val="dotted" w:sz="4" w:space="0" w:color="auto"/>
              <w:righ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vAlign w:val="center"/>
          </w:tcPr>
          <w:p w:rsidR="00AF3803" w:rsidRPr="009F654D" w:rsidRDefault="00AA6CAD"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8.07</w:t>
            </w:r>
          </w:p>
        </w:tc>
        <w:tc>
          <w:tcPr>
            <w:tcW w:w="304" w:type="dxa"/>
            <w:tcBorders>
              <w:top w:val="dotted" w:sz="4" w:space="0" w:color="auto"/>
            </w:tcBorders>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top w:val="dotted" w:sz="4" w:space="0" w:color="auto"/>
            </w:tcBorders>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20.35</w:t>
            </w:r>
          </w:p>
        </w:tc>
        <w:tc>
          <w:tcPr>
            <w:tcW w:w="266" w:type="dxa"/>
            <w:tcBorders>
              <w:top w:val="dotted" w:sz="4" w:space="0" w:color="auto"/>
            </w:tcBorders>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dotted" w:sz="4" w:space="0" w:color="auto"/>
            </w:tcBorders>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35.65</w:t>
            </w:r>
          </w:p>
        </w:tc>
        <w:tc>
          <w:tcPr>
            <w:tcW w:w="266" w:type="dxa"/>
            <w:tcBorders>
              <w:top w:val="dotted" w:sz="4" w:space="0" w:color="auto"/>
            </w:tcBorders>
            <w:vAlign w:val="center"/>
          </w:tcPr>
          <w:p w:rsidR="00AF3803" w:rsidRPr="009F654D"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12.23</w:t>
            </w:r>
          </w:p>
        </w:tc>
        <w:tc>
          <w:tcPr>
            <w:tcW w:w="268"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23.56</w:t>
            </w:r>
          </w:p>
        </w:tc>
        <w:tc>
          <w:tcPr>
            <w:tcW w:w="308"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32.21</w:t>
            </w:r>
          </w:p>
        </w:tc>
        <w:tc>
          <w:tcPr>
            <w:tcW w:w="236" w:type="dxa"/>
            <w:tcBorders>
              <w:righ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9F654D" w:rsidRDefault="00AA6CAD"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14.30</w:t>
            </w:r>
          </w:p>
        </w:tc>
        <w:tc>
          <w:tcPr>
            <w:tcW w:w="304" w:type="dxa"/>
            <w:shd w:val="clear" w:color="auto" w:fill="DDD9C3" w:themeFill="background2" w:themeFillShade="E6"/>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28.06</w:t>
            </w:r>
          </w:p>
        </w:tc>
        <w:tc>
          <w:tcPr>
            <w:tcW w:w="266" w:type="dxa"/>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36.56</w:t>
            </w:r>
          </w:p>
        </w:tc>
        <w:tc>
          <w:tcPr>
            <w:tcW w:w="266" w:type="dxa"/>
            <w:shd w:val="clear" w:color="auto" w:fill="DDD9C3" w:themeFill="background2" w:themeFillShade="E6"/>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14.43</w:t>
            </w:r>
          </w:p>
        </w:tc>
        <w:tc>
          <w:tcPr>
            <w:tcW w:w="268"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16.68</w:t>
            </w:r>
          </w:p>
        </w:tc>
        <w:tc>
          <w:tcPr>
            <w:tcW w:w="308"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18.36</w:t>
            </w:r>
          </w:p>
        </w:tc>
        <w:tc>
          <w:tcPr>
            <w:tcW w:w="236" w:type="dxa"/>
            <w:tcBorders>
              <w:right w:val="single" w:sz="4" w:space="0" w:color="auto"/>
            </w:tcBorders>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9F654D" w:rsidRDefault="00AA6CAD"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14.29</w:t>
            </w:r>
          </w:p>
        </w:tc>
        <w:tc>
          <w:tcPr>
            <w:tcW w:w="304" w:type="dxa"/>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16.73</w:t>
            </w:r>
          </w:p>
        </w:tc>
        <w:tc>
          <w:tcPr>
            <w:tcW w:w="266" w:type="dxa"/>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23.17</w:t>
            </w:r>
          </w:p>
        </w:tc>
        <w:tc>
          <w:tcPr>
            <w:tcW w:w="266" w:type="dxa"/>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Borders>
              <w:bottom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12.81</w:t>
            </w:r>
          </w:p>
        </w:tc>
        <w:tc>
          <w:tcPr>
            <w:tcW w:w="268" w:type="dxa"/>
            <w:tcBorders>
              <w:bottom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16.67</w:t>
            </w:r>
          </w:p>
        </w:tc>
        <w:tc>
          <w:tcPr>
            <w:tcW w:w="308" w:type="dxa"/>
            <w:tcBorders>
              <w:bottom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18.63</w:t>
            </w:r>
          </w:p>
        </w:tc>
        <w:tc>
          <w:tcPr>
            <w:tcW w:w="236" w:type="dxa"/>
            <w:tcBorders>
              <w:bottom w:val="single" w:sz="4" w:space="0" w:color="auto"/>
              <w:right w:val="single" w:sz="4" w:space="0" w:color="auto"/>
            </w:tcBorders>
            <w:shd w:val="clear" w:color="auto" w:fill="DDD9C3" w:themeFill="background2" w:themeFillShade="E6"/>
            <w:vAlign w:val="center"/>
          </w:tcPr>
          <w:p w:rsidR="00AF3803" w:rsidRPr="009F654D"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vAlign w:val="center"/>
          </w:tcPr>
          <w:p w:rsidR="00AF3803" w:rsidRPr="009F654D" w:rsidRDefault="00AA6CAD"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15.76</w:t>
            </w:r>
          </w:p>
        </w:tc>
        <w:tc>
          <w:tcPr>
            <w:tcW w:w="304" w:type="dxa"/>
            <w:tcBorders>
              <w:bottom w:val="single" w:sz="4" w:space="0" w:color="auto"/>
            </w:tcBorders>
            <w:shd w:val="clear" w:color="auto" w:fill="DDD9C3" w:themeFill="background2" w:themeFillShade="E6"/>
            <w:vAlign w:val="center"/>
          </w:tcPr>
          <w:p w:rsidR="00AF3803" w:rsidRPr="009F654D"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tcBorders>
              <w:bottom w:val="single" w:sz="4" w:space="0" w:color="auto"/>
            </w:tcBorders>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18.72</w:t>
            </w:r>
          </w:p>
        </w:tc>
        <w:tc>
          <w:tcPr>
            <w:tcW w:w="266" w:type="dxa"/>
            <w:tcBorders>
              <w:bottom w:val="single" w:sz="4" w:space="0" w:color="auto"/>
            </w:tcBorders>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vAlign w:val="center"/>
          </w:tcPr>
          <w:p w:rsidR="00AF3803" w:rsidRPr="009F654D" w:rsidRDefault="00AA6CAD"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27.65</w:t>
            </w:r>
          </w:p>
        </w:tc>
        <w:tc>
          <w:tcPr>
            <w:tcW w:w="266" w:type="dxa"/>
            <w:tcBorders>
              <w:bottom w:val="single" w:sz="4" w:space="0" w:color="auto"/>
            </w:tcBorders>
            <w:shd w:val="clear" w:color="auto" w:fill="DDD9C3" w:themeFill="background2" w:themeFillShade="E6"/>
            <w:vAlign w:val="center"/>
          </w:tcPr>
          <w:p w:rsidR="00AF3803" w:rsidRPr="009F654D"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30</w:t>
            </w:r>
          </w:p>
        </w:tc>
        <w:tc>
          <w:tcPr>
            <w:tcW w:w="839"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34.13</w:t>
            </w:r>
          </w:p>
        </w:tc>
        <w:tc>
          <w:tcPr>
            <w:tcW w:w="268" w:type="dxa"/>
            <w:tcBorders>
              <w:top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44.43</w:t>
            </w:r>
          </w:p>
        </w:tc>
        <w:tc>
          <w:tcPr>
            <w:tcW w:w="308" w:type="dxa"/>
            <w:tcBorders>
              <w:top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55.34</w:t>
            </w:r>
          </w:p>
        </w:tc>
        <w:tc>
          <w:tcPr>
            <w:tcW w:w="236" w:type="dxa"/>
            <w:tcBorders>
              <w:top w:val="single" w:sz="4" w:space="0" w:color="auto"/>
              <w:right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35.00</w:t>
            </w:r>
          </w:p>
        </w:tc>
        <w:tc>
          <w:tcPr>
            <w:tcW w:w="304" w:type="dxa"/>
            <w:tcBorders>
              <w:top w:val="single" w:sz="4" w:space="0" w:color="auto"/>
            </w:tcBorders>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top w:val="single" w:sz="4" w:space="0" w:color="auto"/>
            </w:tcBorders>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48.99</w:t>
            </w:r>
          </w:p>
        </w:tc>
        <w:tc>
          <w:tcPr>
            <w:tcW w:w="266" w:type="dxa"/>
            <w:tcBorders>
              <w:top w:val="single" w:sz="4" w:space="0" w:color="auto"/>
            </w:tcBorders>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60.87</w:t>
            </w:r>
          </w:p>
        </w:tc>
        <w:tc>
          <w:tcPr>
            <w:tcW w:w="266" w:type="dxa"/>
            <w:tcBorders>
              <w:top w:val="single" w:sz="4" w:space="0" w:color="auto"/>
            </w:tcBorders>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r>
              <w:rPr>
                <w:rFonts w:ascii="Arial" w:hAnsi="Arial" w:cs="Arial"/>
                <w:sz w:val="16"/>
                <w:szCs w:val="18"/>
              </w:rPr>
              <w:t>(n=1,932)</w:t>
            </w: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23.38</w:t>
            </w:r>
          </w:p>
        </w:tc>
        <w:tc>
          <w:tcPr>
            <w:tcW w:w="268" w:type="dxa"/>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33.47</w:t>
            </w:r>
          </w:p>
        </w:tc>
        <w:tc>
          <w:tcPr>
            <w:tcW w:w="308" w:type="dxa"/>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45.55</w:t>
            </w:r>
          </w:p>
        </w:tc>
        <w:tc>
          <w:tcPr>
            <w:tcW w:w="236" w:type="dxa"/>
            <w:tcBorders>
              <w:right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21.12</w:t>
            </w:r>
          </w:p>
        </w:tc>
        <w:tc>
          <w:tcPr>
            <w:tcW w:w="304" w:type="dxa"/>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36.74</w:t>
            </w:r>
          </w:p>
        </w:tc>
        <w:tc>
          <w:tcPr>
            <w:tcW w:w="266" w:type="dxa"/>
            <w:shd w:val="clear" w:color="auto" w:fill="DDD9C3" w:themeFill="background2" w:themeFillShade="E6"/>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47.86</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14.30</w:t>
            </w:r>
          </w:p>
        </w:tc>
        <w:tc>
          <w:tcPr>
            <w:tcW w:w="268" w:type="dxa"/>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16.71</w:t>
            </w:r>
          </w:p>
        </w:tc>
        <w:tc>
          <w:tcPr>
            <w:tcW w:w="308" w:type="dxa"/>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25.94</w:t>
            </w:r>
          </w:p>
        </w:tc>
        <w:tc>
          <w:tcPr>
            <w:tcW w:w="236" w:type="dxa"/>
            <w:tcBorders>
              <w:right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14.49</w:t>
            </w:r>
          </w:p>
        </w:tc>
        <w:tc>
          <w:tcPr>
            <w:tcW w:w="304" w:type="dxa"/>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27.06</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38.69</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11.26</w:t>
            </w:r>
          </w:p>
        </w:tc>
        <w:tc>
          <w:tcPr>
            <w:tcW w:w="268" w:type="dxa"/>
            <w:tcBorders>
              <w:bottom w:val="dotted"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15.28</w:t>
            </w:r>
          </w:p>
        </w:tc>
        <w:tc>
          <w:tcPr>
            <w:tcW w:w="308" w:type="dxa"/>
            <w:tcBorders>
              <w:bottom w:val="dotted"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18.94</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12.29</w:t>
            </w:r>
          </w:p>
        </w:tc>
        <w:tc>
          <w:tcPr>
            <w:tcW w:w="304" w:type="dxa"/>
            <w:tcBorders>
              <w:bottom w:val="dotted"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bottom w:val="dotted" w:sz="4" w:space="0" w:color="auto"/>
            </w:tcBorders>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21.08</w:t>
            </w:r>
          </w:p>
        </w:tc>
        <w:tc>
          <w:tcPr>
            <w:tcW w:w="266" w:type="dxa"/>
            <w:tcBorders>
              <w:bottom w:val="dotted" w:sz="4" w:space="0" w:color="auto"/>
            </w:tcBorders>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32.68</w:t>
            </w:r>
          </w:p>
        </w:tc>
        <w:tc>
          <w:tcPr>
            <w:tcW w:w="266" w:type="dxa"/>
            <w:tcBorders>
              <w:bottom w:val="dotted" w:sz="4" w:space="0" w:color="auto"/>
            </w:tcBorders>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3.60</w:t>
            </w:r>
          </w:p>
        </w:tc>
        <w:tc>
          <w:tcPr>
            <w:tcW w:w="268" w:type="dxa"/>
            <w:tcBorders>
              <w:top w:val="dotted"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22.29</w:t>
            </w:r>
          </w:p>
        </w:tc>
        <w:tc>
          <w:tcPr>
            <w:tcW w:w="308" w:type="dxa"/>
            <w:tcBorders>
              <w:top w:val="dotted"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40.95</w:t>
            </w:r>
          </w:p>
        </w:tc>
        <w:tc>
          <w:tcPr>
            <w:tcW w:w="236" w:type="dxa"/>
            <w:tcBorders>
              <w:top w:val="dotted" w:sz="4" w:space="0" w:color="auto"/>
              <w:right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11.63</w:t>
            </w:r>
          </w:p>
        </w:tc>
        <w:tc>
          <w:tcPr>
            <w:tcW w:w="304" w:type="dxa"/>
            <w:tcBorders>
              <w:top w:val="dotted" w:sz="4" w:space="0" w:color="auto"/>
            </w:tcBorders>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tcBorders>
              <w:top w:val="dotted" w:sz="4" w:space="0" w:color="auto"/>
            </w:tcBorders>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23.97</w:t>
            </w:r>
          </w:p>
        </w:tc>
        <w:tc>
          <w:tcPr>
            <w:tcW w:w="266" w:type="dxa"/>
            <w:tcBorders>
              <w:top w:val="dotted" w:sz="4" w:space="0" w:color="auto"/>
            </w:tcBorders>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dotted" w:sz="4" w:space="0" w:color="auto"/>
            </w:tcBorders>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42.73</w:t>
            </w:r>
          </w:p>
        </w:tc>
        <w:tc>
          <w:tcPr>
            <w:tcW w:w="266" w:type="dxa"/>
            <w:tcBorders>
              <w:top w:val="dotted" w:sz="4" w:space="0" w:color="auto"/>
            </w:tcBorders>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4.78</w:t>
            </w:r>
          </w:p>
        </w:tc>
        <w:tc>
          <w:tcPr>
            <w:tcW w:w="268" w:type="dxa"/>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16.81</w:t>
            </w:r>
          </w:p>
        </w:tc>
        <w:tc>
          <w:tcPr>
            <w:tcW w:w="308" w:type="dxa"/>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32.44</w:t>
            </w:r>
          </w:p>
        </w:tc>
        <w:tc>
          <w:tcPr>
            <w:tcW w:w="236" w:type="dxa"/>
            <w:tcBorders>
              <w:right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8.93</w:t>
            </w:r>
          </w:p>
        </w:tc>
        <w:tc>
          <w:tcPr>
            <w:tcW w:w="304" w:type="dxa"/>
            <w:shd w:val="clear" w:color="auto" w:fill="DDD9C3" w:themeFill="background2" w:themeFillShade="E6"/>
            <w:vAlign w:val="center"/>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26.75</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38.54</w:t>
            </w:r>
          </w:p>
        </w:tc>
        <w:tc>
          <w:tcPr>
            <w:tcW w:w="266" w:type="dxa"/>
            <w:shd w:val="clear" w:color="auto" w:fill="DDD9C3" w:themeFill="background2" w:themeFillShade="E6"/>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16.46</w:t>
            </w:r>
          </w:p>
        </w:tc>
        <w:tc>
          <w:tcPr>
            <w:tcW w:w="268" w:type="dxa"/>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18.29</w:t>
            </w:r>
          </w:p>
        </w:tc>
        <w:tc>
          <w:tcPr>
            <w:tcW w:w="308" w:type="dxa"/>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21.43</w:t>
            </w:r>
          </w:p>
        </w:tc>
        <w:tc>
          <w:tcPr>
            <w:tcW w:w="236" w:type="dxa"/>
            <w:tcBorders>
              <w:right w:val="single" w:sz="4" w:space="0" w:color="auto"/>
            </w:tcBorders>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16.26</w:t>
            </w:r>
          </w:p>
        </w:tc>
        <w:tc>
          <w:tcPr>
            <w:tcW w:w="304" w:type="dxa"/>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19.56</w:t>
            </w:r>
          </w:p>
        </w:tc>
        <w:tc>
          <w:tcPr>
            <w:tcW w:w="266" w:type="dxa"/>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26.59</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Borders>
              <w:bottom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16.55</w:t>
            </w:r>
          </w:p>
        </w:tc>
        <w:tc>
          <w:tcPr>
            <w:tcW w:w="268" w:type="dxa"/>
            <w:tcBorders>
              <w:bottom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18.26</w:t>
            </w:r>
          </w:p>
        </w:tc>
        <w:tc>
          <w:tcPr>
            <w:tcW w:w="308" w:type="dxa"/>
            <w:tcBorders>
              <w:bottom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9F654D" w:rsidRDefault="00AF3803" w:rsidP="009F654D">
            <w:pPr>
              <w:pStyle w:val="BodyText"/>
              <w:spacing w:before="40" w:after="20" w:line="240" w:lineRule="auto"/>
              <w:ind w:right="-50"/>
              <w:jc w:val="right"/>
              <w:rPr>
                <w:rFonts w:ascii="Arial" w:hAnsi="Arial" w:cs="Arial"/>
                <w:sz w:val="16"/>
                <w:szCs w:val="18"/>
              </w:rPr>
            </w:pPr>
            <w:r w:rsidRPr="009F654D">
              <w:rPr>
                <w:rFonts w:ascii="Arial" w:hAnsi="Arial" w:cs="Arial"/>
                <w:sz w:val="16"/>
                <w:szCs w:val="18"/>
              </w:rPr>
              <w:t>21.85</w:t>
            </w:r>
          </w:p>
        </w:tc>
        <w:tc>
          <w:tcPr>
            <w:tcW w:w="236" w:type="dxa"/>
            <w:tcBorders>
              <w:bottom w:val="single" w:sz="4" w:space="0" w:color="auto"/>
              <w:right w:val="single" w:sz="4" w:space="0" w:color="auto"/>
            </w:tcBorders>
            <w:shd w:val="clear" w:color="auto" w:fill="DDD9C3" w:themeFill="background2" w:themeFillShade="E6"/>
          </w:tcPr>
          <w:p w:rsidR="00AF3803" w:rsidRPr="005B7A42" w:rsidRDefault="00AF3803" w:rsidP="009F654D">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vAlign w:val="center"/>
          </w:tcPr>
          <w:p w:rsidR="00AF3803" w:rsidRPr="009F654D" w:rsidRDefault="0065728B"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16.65</w:t>
            </w:r>
          </w:p>
        </w:tc>
        <w:tc>
          <w:tcPr>
            <w:tcW w:w="304"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bottom w:val="single" w:sz="4" w:space="0" w:color="auto"/>
            </w:tcBorders>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19.49</w:t>
            </w:r>
          </w:p>
        </w:tc>
        <w:tc>
          <w:tcPr>
            <w:tcW w:w="266" w:type="dxa"/>
            <w:tcBorders>
              <w:bottom w:val="single" w:sz="4" w:space="0" w:color="auto"/>
            </w:tcBorders>
            <w:shd w:val="clear" w:color="auto" w:fill="DDD9C3" w:themeFill="background2" w:themeFillShade="E6"/>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bottom w:val="single" w:sz="4" w:space="0" w:color="auto"/>
            </w:tcBorders>
            <w:shd w:val="clear" w:color="auto" w:fill="DDD9C3" w:themeFill="background2" w:themeFillShade="E6"/>
          </w:tcPr>
          <w:p w:rsidR="00AF3803" w:rsidRPr="009F654D" w:rsidRDefault="0065728B" w:rsidP="009F654D">
            <w:pPr>
              <w:pStyle w:val="BodyText"/>
              <w:spacing w:before="40" w:after="20" w:line="240" w:lineRule="auto"/>
              <w:ind w:right="-50"/>
              <w:jc w:val="right"/>
              <w:rPr>
                <w:rFonts w:ascii="Arial" w:hAnsi="Arial" w:cs="Arial"/>
                <w:sz w:val="16"/>
                <w:szCs w:val="18"/>
              </w:rPr>
            </w:pPr>
            <w:r>
              <w:rPr>
                <w:rFonts w:ascii="Arial" w:hAnsi="Arial" w:cs="Arial"/>
                <w:sz w:val="16"/>
                <w:szCs w:val="18"/>
              </w:rPr>
              <w:t>27.78</w:t>
            </w:r>
          </w:p>
        </w:tc>
        <w:tc>
          <w:tcPr>
            <w:tcW w:w="266" w:type="dxa"/>
            <w:tcBorders>
              <w:bottom w:val="single" w:sz="4" w:space="0" w:color="auto"/>
            </w:tcBorders>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Borders>
              <w:top w:val="single"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r>
              <w:rPr>
                <w:rFonts w:ascii="Arial" w:hAnsi="Arial" w:cs="Arial"/>
                <w:sz w:val="16"/>
                <w:szCs w:val="18"/>
              </w:rPr>
              <w:t>40</w:t>
            </w:r>
          </w:p>
        </w:tc>
        <w:tc>
          <w:tcPr>
            <w:tcW w:w="839" w:type="dxa"/>
            <w:tcBorders>
              <w:top w:val="single"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37.16</w:t>
            </w:r>
          </w:p>
        </w:tc>
        <w:tc>
          <w:tcPr>
            <w:tcW w:w="268" w:type="dxa"/>
            <w:tcBorders>
              <w:top w:val="single" w:sz="4" w:space="0" w:color="auto"/>
            </w:tcBorders>
            <w:vAlign w:val="bottom"/>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49.73</w:t>
            </w:r>
          </w:p>
        </w:tc>
        <w:tc>
          <w:tcPr>
            <w:tcW w:w="308" w:type="dxa"/>
            <w:tcBorders>
              <w:top w:val="single" w:sz="4" w:space="0" w:color="auto"/>
            </w:tcBorders>
            <w:vAlign w:val="bottom"/>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62.38</w:t>
            </w:r>
          </w:p>
        </w:tc>
        <w:tc>
          <w:tcPr>
            <w:tcW w:w="236" w:type="dxa"/>
            <w:tcBorders>
              <w:top w:val="single" w:sz="4" w:space="0" w:color="auto"/>
              <w:right w:val="single" w:sz="4" w:space="0" w:color="auto"/>
            </w:tcBorders>
            <w:vAlign w:val="bottom"/>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vAlign w:val="center"/>
          </w:tcPr>
          <w:p w:rsidR="00AF3803" w:rsidRPr="005865A0" w:rsidRDefault="00C04C15"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35.69</w:t>
            </w:r>
          </w:p>
        </w:tc>
        <w:tc>
          <w:tcPr>
            <w:tcW w:w="304" w:type="dxa"/>
            <w:tcBorders>
              <w:top w:val="single" w:sz="4" w:space="0" w:color="auto"/>
            </w:tcBorders>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top w:val="single" w:sz="4" w:space="0" w:color="auto"/>
            </w:tcBorders>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51.89</w:t>
            </w:r>
          </w:p>
        </w:tc>
        <w:tc>
          <w:tcPr>
            <w:tcW w:w="266" w:type="dxa"/>
            <w:tcBorders>
              <w:top w:val="single" w:sz="4" w:space="0" w:color="auto"/>
            </w:tcBorders>
            <w:vAlign w:val="bottom"/>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single" w:sz="4" w:space="0" w:color="auto"/>
            </w:tcBorders>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65.03</w:t>
            </w:r>
          </w:p>
        </w:tc>
        <w:tc>
          <w:tcPr>
            <w:tcW w:w="266" w:type="dxa"/>
            <w:tcBorders>
              <w:top w:val="single" w:sz="4" w:space="0" w:color="auto"/>
            </w:tcBorders>
            <w:vAlign w:val="bottom"/>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r>
              <w:rPr>
                <w:rFonts w:ascii="Arial" w:hAnsi="Arial" w:cs="Arial"/>
                <w:sz w:val="16"/>
                <w:szCs w:val="18"/>
              </w:rPr>
              <w:t>(n=1,908)</w:t>
            </w: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20.60</w:t>
            </w:r>
          </w:p>
        </w:tc>
        <w:tc>
          <w:tcPr>
            <w:tcW w:w="268" w:type="dxa"/>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32.71</w:t>
            </w:r>
          </w:p>
        </w:tc>
        <w:tc>
          <w:tcPr>
            <w:tcW w:w="308" w:type="dxa"/>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43.01</w:t>
            </w:r>
          </w:p>
        </w:tc>
        <w:tc>
          <w:tcPr>
            <w:tcW w:w="236" w:type="dxa"/>
            <w:tcBorders>
              <w:right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5865A0" w:rsidRDefault="00C04C15"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27.45</w:t>
            </w:r>
          </w:p>
        </w:tc>
        <w:tc>
          <w:tcPr>
            <w:tcW w:w="304" w:type="dxa"/>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shd w:val="clear" w:color="auto" w:fill="DDD9C3" w:themeFill="background2" w:themeFillShade="E6"/>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34.28</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shd w:val="clear" w:color="auto" w:fill="DDD9C3" w:themeFill="background2" w:themeFillShade="E6"/>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45.88</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11.39</w:t>
            </w:r>
          </w:p>
        </w:tc>
        <w:tc>
          <w:tcPr>
            <w:tcW w:w="268" w:type="dxa"/>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15.10</w:t>
            </w:r>
          </w:p>
        </w:tc>
        <w:tc>
          <w:tcPr>
            <w:tcW w:w="308" w:type="dxa"/>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24.32</w:t>
            </w:r>
          </w:p>
        </w:tc>
        <w:tc>
          <w:tcPr>
            <w:tcW w:w="236" w:type="dxa"/>
            <w:tcBorders>
              <w:right w:val="single" w:sz="4" w:space="0" w:color="auto"/>
            </w:tcBorders>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5865A0" w:rsidRDefault="00C04C15"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11.61</w:t>
            </w:r>
          </w:p>
        </w:tc>
        <w:tc>
          <w:tcPr>
            <w:tcW w:w="304" w:type="dxa"/>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18.24</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35.32</w:t>
            </w:r>
          </w:p>
        </w:tc>
        <w:tc>
          <w:tcPr>
            <w:tcW w:w="266" w:type="dxa"/>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10.94</w:t>
            </w:r>
          </w:p>
        </w:tc>
        <w:tc>
          <w:tcPr>
            <w:tcW w:w="268" w:type="dxa"/>
            <w:tcBorders>
              <w:bottom w:val="dotted" w:sz="4" w:space="0" w:color="auto"/>
            </w:tcBorders>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12.99</w:t>
            </w:r>
          </w:p>
        </w:tc>
        <w:tc>
          <w:tcPr>
            <w:tcW w:w="308" w:type="dxa"/>
            <w:tcBorders>
              <w:bottom w:val="dotted" w:sz="4" w:space="0" w:color="auto"/>
            </w:tcBorders>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18.01</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vAlign w:val="center"/>
          </w:tcPr>
          <w:p w:rsidR="00AF3803" w:rsidRPr="005865A0" w:rsidRDefault="00C04C15"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12.52</w:t>
            </w:r>
          </w:p>
        </w:tc>
        <w:tc>
          <w:tcPr>
            <w:tcW w:w="304" w:type="dxa"/>
            <w:tcBorders>
              <w:bottom w:val="dotted"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bottom w:val="dotted" w:sz="4" w:space="0" w:color="auto"/>
            </w:tcBorders>
            <w:shd w:val="clear" w:color="auto" w:fill="DDD9C3" w:themeFill="background2" w:themeFillShade="E6"/>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21.58</w:t>
            </w:r>
          </w:p>
        </w:tc>
        <w:tc>
          <w:tcPr>
            <w:tcW w:w="266" w:type="dxa"/>
            <w:tcBorders>
              <w:bottom w:val="dotted" w:sz="4" w:space="0" w:color="auto"/>
            </w:tcBorders>
            <w:shd w:val="clear" w:color="auto" w:fill="DDD9C3" w:themeFill="background2" w:themeFillShade="E6"/>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bottom w:val="dotted" w:sz="4" w:space="0" w:color="auto"/>
            </w:tcBorders>
            <w:shd w:val="clear" w:color="auto" w:fill="DDD9C3" w:themeFill="background2" w:themeFillShade="E6"/>
          </w:tcPr>
          <w:p w:rsidR="00AF3803" w:rsidRPr="005865A0" w:rsidRDefault="00C04C15"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30.98</w:t>
            </w:r>
          </w:p>
        </w:tc>
        <w:tc>
          <w:tcPr>
            <w:tcW w:w="266" w:type="dxa"/>
            <w:tcBorders>
              <w:bottom w:val="dotted" w:sz="4" w:space="0" w:color="auto"/>
            </w:tcBorders>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top w:val="dotted"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11.90</w:t>
            </w:r>
          </w:p>
        </w:tc>
        <w:tc>
          <w:tcPr>
            <w:tcW w:w="268" w:type="dxa"/>
            <w:tcBorders>
              <w:top w:val="dotted" w:sz="4" w:space="0" w:color="auto"/>
            </w:tcBorders>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26.51</w:t>
            </w:r>
          </w:p>
        </w:tc>
        <w:tc>
          <w:tcPr>
            <w:tcW w:w="308" w:type="dxa"/>
            <w:tcBorders>
              <w:top w:val="dotted" w:sz="4" w:space="0" w:color="auto"/>
            </w:tcBorders>
            <w:vAlign w:val="bottom"/>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42.09</w:t>
            </w:r>
          </w:p>
        </w:tc>
        <w:tc>
          <w:tcPr>
            <w:tcW w:w="236" w:type="dxa"/>
            <w:tcBorders>
              <w:top w:val="dotted" w:sz="4" w:space="0" w:color="auto"/>
              <w:right w:val="single" w:sz="4" w:space="0" w:color="auto"/>
            </w:tcBorders>
            <w:vAlign w:val="bottom"/>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vAlign w:val="center"/>
          </w:tcPr>
          <w:p w:rsidR="00AF3803" w:rsidRPr="005865A0" w:rsidRDefault="00C04C15"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15.03</w:t>
            </w:r>
          </w:p>
        </w:tc>
        <w:tc>
          <w:tcPr>
            <w:tcW w:w="304" w:type="dxa"/>
            <w:tcBorders>
              <w:top w:val="dotted" w:sz="4" w:space="0" w:color="auto"/>
            </w:tcBorders>
            <w:vAlign w:val="center"/>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30" w:type="dxa"/>
            <w:tcBorders>
              <w:top w:val="dotted" w:sz="4" w:space="0" w:color="auto"/>
            </w:tcBorders>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30.17</w:t>
            </w:r>
          </w:p>
        </w:tc>
        <w:tc>
          <w:tcPr>
            <w:tcW w:w="266" w:type="dxa"/>
            <w:tcBorders>
              <w:top w:val="dotted" w:sz="4" w:space="0" w:color="auto"/>
            </w:tcBorders>
            <w:vAlign w:val="bottom"/>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43.97</w:t>
            </w:r>
          </w:p>
        </w:tc>
        <w:tc>
          <w:tcPr>
            <w:tcW w:w="266" w:type="dxa"/>
            <w:tcBorders>
              <w:top w:val="dotted" w:sz="4" w:space="0" w:color="auto"/>
            </w:tcBorders>
            <w:vAlign w:val="bottom"/>
          </w:tcPr>
          <w:p w:rsidR="00AF3803" w:rsidRPr="005B7A42" w:rsidRDefault="00D63334"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8.60</w:t>
            </w:r>
          </w:p>
        </w:tc>
        <w:tc>
          <w:tcPr>
            <w:tcW w:w="268" w:type="dxa"/>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20.05</w:t>
            </w:r>
          </w:p>
        </w:tc>
        <w:tc>
          <w:tcPr>
            <w:tcW w:w="308" w:type="dxa"/>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33.94</w:t>
            </w:r>
          </w:p>
        </w:tc>
        <w:tc>
          <w:tcPr>
            <w:tcW w:w="236" w:type="dxa"/>
            <w:tcBorders>
              <w:right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vAlign w:val="center"/>
          </w:tcPr>
          <w:p w:rsidR="00AF3803" w:rsidRPr="005865A0" w:rsidRDefault="00D00E60"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12.52</w:t>
            </w:r>
          </w:p>
        </w:tc>
        <w:tc>
          <w:tcPr>
            <w:tcW w:w="304" w:type="dxa"/>
            <w:shd w:val="clear" w:color="auto" w:fill="DDD9C3" w:themeFill="background2" w:themeFillShade="E6"/>
            <w:vAlign w:val="center"/>
          </w:tcPr>
          <w:p w:rsidR="00AF3803" w:rsidRPr="005B7A42" w:rsidRDefault="00D63334"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shd w:val="clear" w:color="auto" w:fill="DDD9C3" w:themeFill="background2" w:themeFillShade="E6"/>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27.68</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41.06</w:t>
            </w:r>
          </w:p>
        </w:tc>
        <w:tc>
          <w:tcPr>
            <w:tcW w:w="266" w:type="dxa"/>
            <w:shd w:val="clear" w:color="auto" w:fill="DDD9C3" w:themeFill="background2" w:themeFillShade="E6"/>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FA2ECF">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16.72</w:t>
            </w:r>
          </w:p>
        </w:tc>
        <w:tc>
          <w:tcPr>
            <w:tcW w:w="268" w:type="dxa"/>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700"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18.28</w:t>
            </w:r>
          </w:p>
        </w:tc>
        <w:tc>
          <w:tcPr>
            <w:tcW w:w="308" w:type="dxa"/>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45"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23.15</w:t>
            </w:r>
          </w:p>
        </w:tc>
        <w:tc>
          <w:tcPr>
            <w:tcW w:w="236" w:type="dxa"/>
            <w:tcBorders>
              <w:right w:val="single" w:sz="4" w:space="0" w:color="auto"/>
            </w:tcBorders>
          </w:tcPr>
          <w:p w:rsidR="00AF3803" w:rsidRPr="005B7A42"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vAlign w:val="center"/>
          </w:tcPr>
          <w:p w:rsidR="00AF3803" w:rsidRPr="005865A0" w:rsidRDefault="00D00E60"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15.75</w:t>
            </w:r>
          </w:p>
        </w:tc>
        <w:tc>
          <w:tcPr>
            <w:tcW w:w="304" w:type="dxa"/>
            <w:vAlign w:val="center"/>
          </w:tcPr>
          <w:p w:rsidR="00AF3803" w:rsidRPr="005B7A42" w:rsidRDefault="00D63334"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21.68</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5865A0" w:rsidRDefault="00D00E60"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30.91</w:t>
            </w:r>
          </w:p>
        </w:tc>
        <w:tc>
          <w:tcPr>
            <w:tcW w:w="266" w:type="dxa"/>
          </w:tcPr>
          <w:p w:rsidR="00AF3803" w:rsidRPr="005B7A42" w:rsidRDefault="00AF3803" w:rsidP="00AA5C45">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94" w:type="dxa"/>
            <w:tcBorders>
              <w:bottom w:val="single" w:sz="4" w:space="0" w:color="auto"/>
            </w:tcBorders>
            <w:vAlign w:val="bottom"/>
          </w:tcPr>
          <w:p w:rsidR="00AF3803" w:rsidRPr="005B7A42" w:rsidRDefault="00AF3803" w:rsidP="00FA2ECF">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FA2ECF">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vAlign w:val="center"/>
          </w:tcPr>
          <w:p w:rsidR="00AF3803" w:rsidRPr="005865A0" w:rsidRDefault="00AF3803" w:rsidP="00D00E6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15.96</w:t>
            </w:r>
          </w:p>
        </w:tc>
        <w:tc>
          <w:tcPr>
            <w:tcW w:w="268"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vAlign w:val="center"/>
          </w:tcPr>
          <w:p w:rsidR="00AF3803" w:rsidRPr="005865A0" w:rsidRDefault="00AF3803" w:rsidP="00D00E6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18.13</w:t>
            </w:r>
          </w:p>
        </w:tc>
        <w:tc>
          <w:tcPr>
            <w:tcW w:w="308"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vAlign w:val="center"/>
          </w:tcPr>
          <w:p w:rsidR="00AF3803" w:rsidRPr="005865A0" w:rsidRDefault="00AF3803" w:rsidP="00D00E6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21.78</w:t>
            </w:r>
          </w:p>
        </w:tc>
        <w:tc>
          <w:tcPr>
            <w:tcW w:w="236" w:type="dxa"/>
            <w:tcBorders>
              <w:bottom w:val="single" w:sz="4" w:space="0" w:color="auto"/>
              <w:right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vAlign w:val="center"/>
          </w:tcPr>
          <w:p w:rsidR="00AF3803" w:rsidRPr="005865A0" w:rsidRDefault="00D00E60"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15.73</w:t>
            </w:r>
          </w:p>
        </w:tc>
        <w:tc>
          <w:tcPr>
            <w:tcW w:w="304"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30" w:type="dxa"/>
            <w:tcBorders>
              <w:bottom w:val="single" w:sz="4" w:space="0" w:color="auto"/>
            </w:tcBorders>
            <w:shd w:val="clear" w:color="auto" w:fill="DDD9C3" w:themeFill="background2" w:themeFillShade="E6"/>
            <w:vAlign w:val="center"/>
          </w:tcPr>
          <w:p w:rsidR="00AF3803" w:rsidRPr="005865A0" w:rsidRDefault="00D00E60"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18.61</w:t>
            </w:r>
          </w:p>
        </w:tc>
        <w:tc>
          <w:tcPr>
            <w:tcW w:w="266" w:type="dxa"/>
            <w:tcBorders>
              <w:bottom w:val="single" w:sz="4" w:space="0" w:color="auto"/>
            </w:tcBorders>
            <w:shd w:val="clear" w:color="auto" w:fill="DDD9C3" w:themeFill="background2" w:themeFillShade="E6"/>
            <w:vAlign w:val="center"/>
          </w:tcPr>
          <w:p w:rsidR="00AF3803" w:rsidRPr="005B7A42" w:rsidRDefault="00AF3803"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bottom w:val="single" w:sz="4" w:space="0" w:color="auto"/>
            </w:tcBorders>
            <w:shd w:val="clear" w:color="auto" w:fill="DDD9C3" w:themeFill="background2" w:themeFillShade="E6"/>
            <w:vAlign w:val="center"/>
          </w:tcPr>
          <w:p w:rsidR="00AF3803" w:rsidRPr="005865A0" w:rsidRDefault="00D00E60" w:rsidP="00D00E60">
            <w:pPr>
              <w:pStyle w:val="BodyText"/>
              <w:spacing w:before="40" w:after="20" w:line="240" w:lineRule="auto"/>
              <w:ind w:right="-50"/>
              <w:jc w:val="right"/>
              <w:rPr>
                <w:rFonts w:ascii="Arial" w:hAnsi="Arial" w:cs="Arial"/>
                <w:sz w:val="16"/>
                <w:szCs w:val="18"/>
              </w:rPr>
            </w:pPr>
            <w:r>
              <w:rPr>
                <w:rFonts w:ascii="Arial" w:hAnsi="Arial" w:cs="Arial"/>
                <w:sz w:val="16"/>
                <w:szCs w:val="18"/>
              </w:rPr>
              <w:t>25.75</w:t>
            </w:r>
          </w:p>
        </w:tc>
        <w:tc>
          <w:tcPr>
            <w:tcW w:w="266" w:type="dxa"/>
            <w:tcBorders>
              <w:bottom w:val="single" w:sz="4" w:space="0" w:color="auto"/>
            </w:tcBorders>
            <w:shd w:val="clear" w:color="auto" w:fill="DDD9C3" w:themeFill="background2" w:themeFillShade="E6"/>
            <w:vAlign w:val="center"/>
          </w:tcPr>
          <w:p w:rsidR="00AF3803" w:rsidRPr="005B7A42" w:rsidRDefault="00D63334" w:rsidP="00D00E60">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bl>
    <w:p w:rsidR="004D2C0C" w:rsidRPr="004D2C0C" w:rsidRDefault="00543995" w:rsidP="004D2C0C">
      <w:pPr>
        <w:spacing w:before="120" w:after="240"/>
        <w:rPr>
          <w:rFonts w:ascii="Arial" w:hAnsi="Arial" w:cs="Arial"/>
          <w:sz w:val="16"/>
          <w:szCs w:val="16"/>
        </w:rPr>
      </w:pPr>
      <w:r>
        <w:rPr>
          <w:rFonts w:ascii="Arial" w:hAnsi="Arial" w:cs="Arial"/>
          <w:sz w:val="16"/>
          <w:szCs w:val="16"/>
        </w:rPr>
        <w:t>The probability (p) that a given post-completion income is greater than the income before study is indicated by</w:t>
      </w:r>
      <w:proofErr w:type="gramStart"/>
      <w:r>
        <w:rPr>
          <w:rFonts w:ascii="Arial" w:hAnsi="Arial" w:cs="Arial"/>
          <w:sz w:val="16"/>
          <w:szCs w:val="16"/>
        </w:rPr>
        <w:t>:</w:t>
      </w:r>
      <w:proofErr w:type="gramEnd"/>
      <w:r>
        <w:rPr>
          <w:rFonts w:ascii="Arial" w:hAnsi="Arial" w:cs="Arial"/>
          <w:sz w:val="16"/>
          <w:szCs w:val="16"/>
        </w:rPr>
        <w:br/>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 xml:space="preserve">0.001;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 different</w:t>
      </w:r>
      <w:r w:rsidRPr="00E359BE">
        <w:rPr>
          <w:rFonts w:ascii="Arial" w:hAnsi="Arial" w:cs="Arial"/>
          <w:sz w:val="16"/>
          <w:szCs w:val="16"/>
        </w:rPr>
        <w:t>.</w:t>
      </w:r>
      <w:r w:rsidR="004D2C0C">
        <w:rPr>
          <w:rFonts w:ascii="Arial" w:hAnsi="Arial" w:cs="Arial"/>
          <w:sz w:val="16"/>
          <w:szCs w:val="16"/>
        </w:rPr>
        <w:br/>
      </w:r>
      <w:r w:rsidR="004D2C0C" w:rsidRPr="004D2C0C">
        <w:rPr>
          <w:rFonts w:ascii="Arial" w:hAnsi="Arial" w:cs="Arial"/>
          <w:sz w:val="16"/>
          <w:szCs w:val="16"/>
        </w:rPr>
        <w:t xml:space="preserve">Source: Statistics New Zealand, Integrated Data Infrastructure, Ministry of Education interpretation. </w:t>
      </w:r>
    </w:p>
    <w:p w:rsidR="00543995" w:rsidRDefault="00543995" w:rsidP="00543995">
      <w:pPr>
        <w:pStyle w:val="BodyText"/>
        <w:spacing w:before="120" w:line="240" w:lineRule="auto"/>
        <w:jc w:val="left"/>
        <w:rPr>
          <w:rFonts w:ascii="Arial" w:hAnsi="Arial" w:cs="Arial"/>
          <w:sz w:val="16"/>
          <w:szCs w:val="16"/>
        </w:rPr>
      </w:pPr>
    </w:p>
    <w:p w:rsidR="00FA2ECF" w:rsidRDefault="00FA2ECF" w:rsidP="00B97720">
      <w:pPr>
        <w:pStyle w:val="BodyText"/>
      </w:pPr>
    </w:p>
    <w:p w:rsidR="005865A0" w:rsidRDefault="005865A0">
      <w:pPr>
        <w:rPr>
          <w:szCs w:val="20"/>
        </w:rPr>
      </w:pPr>
      <w:r>
        <w:br w:type="page"/>
      </w:r>
    </w:p>
    <w:p w:rsidR="00022238" w:rsidRPr="004D2C0C" w:rsidRDefault="00022238" w:rsidP="00022238">
      <w:pPr>
        <w:pStyle w:val="Caption"/>
        <w:rPr>
          <w:sz w:val="16"/>
        </w:rPr>
      </w:pPr>
      <w:proofErr w:type="gramStart"/>
      <w:r w:rsidRPr="004D2C0C">
        <w:rPr>
          <w:sz w:val="16"/>
        </w:rPr>
        <w:lastRenderedPageBreak/>
        <w:t xml:space="preserve">Table </w:t>
      </w:r>
      <w:r w:rsidR="0092253D" w:rsidRPr="004D2C0C">
        <w:rPr>
          <w:sz w:val="16"/>
        </w:rPr>
        <w:fldChar w:fldCharType="begin"/>
      </w:r>
      <w:r w:rsidR="00D7504D" w:rsidRPr="004D2C0C">
        <w:rPr>
          <w:sz w:val="16"/>
        </w:rPr>
        <w:instrText xml:space="preserve"> SEQ Table \* ARABIC </w:instrText>
      </w:r>
      <w:r w:rsidR="0092253D" w:rsidRPr="004D2C0C">
        <w:rPr>
          <w:sz w:val="16"/>
        </w:rPr>
        <w:fldChar w:fldCharType="separate"/>
      </w:r>
      <w:r w:rsidR="00D15EF8">
        <w:rPr>
          <w:noProof/>
          <w:sz w:val="16"/>
        </w:rPr>
        <w:t>5</w:t>
      </w:r>
      <w:r w:rsidR="0092253D" w:rsidRPr="004D2C0C">
        <w:rPr>
          <w:sz w:val="16"/>
        </w:rPr>
        <w:fldChar w:fldCharType="end"/>
      </w:r>
      <w:r w:rsidRPr="004D2C0C">
        <w:rPr>
          <w:sz w:val="16"/>
        </w:rPr>
        <w:t>.</w:t>
      </w:r>
      <w:proofErr w:type="gramEnd"/>
      <w:r w:rsidRPr="004D2C0C">
        <w:rPr>
          <w:sz w:val="16"/>
        </w:rPr>
        <w:t xml:space="preserve"> </w:t>
      </w:r>
      <w:r w:rsidR="0030599C">
        <w:rPr>
          <w:b w:val="0"/>
          <w:sz w:val="16"/>
        </w:rPr>
        <w:t>Distribution of i</w:t>
      </w:r>
      <w:r w:rsidR="00563A69" w:rsidRPr="004D2C0C">
        <w:rPr>
          <w:b w:val="0"/>
          <w:sz w:val="16"/>
        </w:rPr>
        <w:t xml:space="preserve">ncomes </w:t>
      </w:r>
      <w:r w:rsidR="0098525C" w:rsidRPr="004D2C0C">
        <w:rPr>
          <w:b w:val="0"/>
          <w:sz w:val="16"/>
        </w:rPr>
        <w:t>(in thousands of dollars)</w:t>
      </w:r>
      <w:r w:rsidRPr="004D2C0C">
        <w:rPr>
          <w:b w:val="0"/>
          <w:sz w:val="16"/>
        </w:rPr>
        <w:t xml:space="preserve"> before and after completing a </w:t>
      </w:r>
      <w:r w:rsidRPr="00064063">
        <w:rPr>
          <w:sz w:val="16"/>
        </w:rPr>
        <w:t>diploma</w:t>
      </w:r>
      <w:r w:rsidRPr="004D2C0C">
        <w:rPr>
          <w:b w:val="0"/>
          <w:sz w:val="16"/>
        </w:rPr>
        <w:t xml:space="preserve">, by age, gender, and student loan and benefit </w:t>
      </w:r>
      <w:r w:rsidR="00AD254B" w:rsidRPr="004D2C0C">
        <w:rPr>
          <w:b w:val="0"/>
          <w:sz w:val="16"/>
        </w:rPr>
        <w:t>status</w:t>
      </w:r>
      <w:r w:rsidR="00AD254B">
        <w:rPr>
          <w:b w:val="0"/>
          <w:sz w:val="16"/>
        </w:rPr>
        <w:t xml:space="preserve"> </w:t>
      </w:r>
    </w:p>
    <w:tbl>
      <w:tblPr>
        <w:tblStyle w:val="TableGrid"/>
        <w:tblW w:w="88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38"/>
        <w:gridCol w:w="839"/>
        <w:gridCol w:w="787"/>
        <w:gridCol w:w="787"/>
        <w:gridCol w:w="656"/>
        <w:gridCol w:w="268"/>
        <w:gridCol w:w="700"/>
        <w:gridCol w:w="308"/>
        <w:gridCol w:w="645"/>
        <w:gridCol w:w="236"/>
        <w:gridCol w:w="620"/>
        <w:gridCol w:w="252"/>
        <w:gridCol w:w="696"/>
        <w:gridCol w:w="266"/>
        <w:gridCol w:w="602"/>
        <w:gridCol w:w="266"/>
      </w:tblGrid>
      <w:tr w:rsidR="006347A7" w:rsidRPr="005B7A42" w:rsidTr="001A24F1">
        <w:tc>
          <w:tcPr>
            <w:tcW w:w="938" w:type="dxa"/>
            <w:vMerge w:val="restart"/>
            <w:tcBorders>
              <w:top w:val="single" w:sz="4" w:space="0" w:color="auto"/>
            </w:tcBorders>
            <w:shd w:val="clear" w:color="auto" w:fill="DDD9C3" w:themeFill="background2" w:themeFillShade="E6"/>
            <w:vAlign w:val="bottom"/>
          </w:tcPr>
          <w:p w:rsidR="006347A7" w:rsidRPr="005B7A42" w:rsidRDefault="006347A7"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Age</w:t>
            </w:r>
            <w:r>
              <w:rPr>
                <w:rFonts w:ascii="Arial" w:hAnsi="Arial" w:cs="Arial"/>
                <w:sz w:val="16"/>
                <w:szCs w:val="18"/>
              </w:rPr>
              <w:t xml:space="preserve"> in 1999</w:t>
            </w:r>
          </w:p>
        </w:tc>
        <w:tc>
          <w:tcPr>
            <w:tcW w:w="839" w:type="dxa"/>
            <w:vMerge w:val="restart"/>
            <w:tcBorders>
              <w:top w:val="single" w:sz="4" w:space="0" w:color="auto"/>
            </w:tcBorders>
            <w:shd w:val="clear" w:color="auto" w:fill="DDD9C3" w:themeFill="background2" w:themeFillShade="E6"/>
            <w:vAlign w:val="bottom"/>
          </w:tcPr>
          <w:p w:rsidR="006347A7" w:rsidRPr="005B7A42" w:rsidRDefault="006347A7"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Gender</w:t>
            </w:r>
          </w:p>
        </w:tc>
        <w:tc>
          <w:tcPr>
            <w:tcW w:w="787" w:type="dxa"/>
            <w:vMerge w:val="restart"/>
            <w:tcBorders>
              <w:top w:val="single" w:sz="4" w:space="0" w:color="auto"/>
            </w:tcBorders>
            <w:shd w:val="clear" w:color="auto" w:fill="DDD9C3" w:themeFill="background2" w:themeFillShade="E6"/>
            <w:vAlign w:val="bottom"/>
          </w:tcPr>
          <w:p w:rsidR="006347A7" w:rsidRPr="005B7A42" w:rsidRDefault="006347A7" w:rsidP="0047564E">
            <w:pPr>
              <w:pStyle w:val="BodyText"/>
              <w:spacing w:before="40" w:after="20" w:line="240" w:lineRule="auto"/>
              <w:jc w:val="center"/>
              <w:rPr>
                <w:rFonts w:ascii="Arial" w:hAnsi="Arial" w:cs="Arial"/>
                <w:sz w:val="16"/>
                <w:szCs w:val="18"/>
              </w:rPr>
            </w:pPr>
            <w:r w:rsidRPr="005B7A42">
              <w:rPr>
                <w:rFonts w:ascii="Arial" w:hAnsi="Arial" w:cs="Arial"/>
                <w:sz w:val="16"/>
                <w:szCs w:val="18"/>
              </w:rPr>
              <w:t>Was on benefit</w:t>
            </w:r>
            <w:r>
              <w:rPr>
                <w:rFonts w:ascii="Arial" w:hAnsi="Arial" w:cs="Arial"/>
                <w:sz w:val="16"/>
                <w:szCs w:val="18"/>
              </w:rPr>
              <w:t xml:space="preserve"> prior to study</w:t>
            </w:r>
          </w:p>
        </w:tc>
        <w:tc>
          <w:tcPr>
            <w:tcW w:w="787" w:type="dxa"/>
            <w:vMerge w:val="restart"/>
            <w:tcBorders>
              <w:top w:val="single" w:sz="4" w:space="0" w:color="auto"/>
            </w:tcBorders>
            <w:shd w:val="clear" w:color="auto" w:fill="DDD9C3" w:themeFill="background2" w:themeFillShade="E6"/>
            <w:vAlign w:val="bottom"/>
          </w:tcPr>
          <w:p w:rsidR="006347A7" w:rsidRPr="005B7A42" w:rsidRDefault="006347A7"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Had student loan</w:t>
            </w:r>
          </w:p>
        </w:tc>
        <w:tc>
          <w:tcPr>
            <w:tcW w:w="281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6347A7" w:rsidRPr="005B7A42" w:rsidRDefault="006347A7" w:rsidP="002B0564">
            <w:pPr>
              <w:pStyle w:val="BodyText"/>
              <w:spacing w:before="40" w:after="20" w:line="240" w:lineRule="auto"/>
              <w:jc w:val="center"/>
              <w:rPr>
                <w:rFonts w:ascii="Arial" w:hAnsi="Arial" w:cs="Arial"/>
                <w:sz w:val="16"/>
                <w:szCs w:val="18"/>
              </w:rPr>
            </w:pPr>
            <w:r w:rsidRPr="005B7A42">
              <w:rPr>
                <w:rFonts w:ascii="Arial" w:hAnsi="Arial" w:cs="Arial"/>
                <w:sz w:val="16"/>
                <w:szCs w:val="18"/>
              </w:rPr>
              <w:t xml:space="preserve">Income before </w:t>
            </w:r>
            <w:r>
              <w:rPr>
                <w:rFonts w:ascii="Arial" w:hAnsi="Arial" w:cs="Arial"/>
                <w:sz w:val="16"/>
                <w:szCs w:val="18"/>
              </w:rPr>
              <w:t>starting study for post-completion income distribution</w:t>
            </w:r>
            <w:r>
              <w:rPr>
                <w:rFonts w:ascii="Arial" w:hAnsi="Arial" w:cs="Arial"/>
                <w:sz w:val="16"/>
                <w:szCs w:val="18"/>
              </w:rPr>
              <w:br/>
              <w:t>($ 000)</w:t>
            </w:r>
          </w:p>
        </w:tc>
        <w:tc>
          <w:tcPr>
            <w:tcW w:w="2702" w:type="dxa"/>
            <w:gridSpan w:val="6"/>
            <w:tcBorders>
              <w:top w:val="single" w:sz="4" w:space="0" w:color="auto"/>
              <w:left w:val="single" w:sz="4" w:space="0" w:color="auto"/>
              <w:bottom w:val="single" w:sz="4" w:space="0" w:color="auto"/>
            </w:tcBorders>
            <w:shd w:val="clear" w:color="auto" w:fill="DDD9C3" w:themeFill="background2" w:themeFillShade="E6"/>
            <w:vAlign w:val="bottom"/>
          </w:tcPr>
          <w:p w:rsidR="006347A7" w:rsidRPr="005B7A42" w:rsidRDefault="006347A7" w:rsidP="002B0564">
            <w:pPr>
              <w:pStyle w:val="BodyText"/>
              <w:spacing w:before="40" w:after="20" w:line="240" w:lineRule="auto"/>
              <w:jc w:val="center"/>
              <w:rPr>
                <w:rFonts w:ascii="Arial" w:hAnsi="Arial" w:cs="Arial"/>
                <w:sz w:val="16"/>
                <w:szCs w:val="18"/>
              </w:rPr>
            </w:pPr>
            <w:r>
              <w:rPr>
                <w:rFonts w:ascii="Arial" w:hAnsi="Arial" w:cs="Arial"/>
                <w:sz w:val="16"/>
                <w:szCs w:val="18"/>
              </w:rPr>
              <w:t>Expected income after</w:t>
            </w:r>
            <w:r w:rsidRPr="005B7A42">
              <w:rPr>
                <w:rFonts w:ascii="Arial" w:hAnsi="Arial" w:cs="Arial"/>
                <w:sz w:val="16"/>
                <w:szCs w:val="18"/>
              </w:rPr>
              <w:t xml:space="preserve"> completing</w:t>
            </w:r>
            <w:r>
              <w:rPr>
                <w:rFonts w:ascii="Arial" w:hAnsi="Arial" w:cs="Arial"/>
                <w:sz w:val="16"/>
                <w:szCs w:val="18"/>
              </w:rPr>
              <w:br/>
              <w:t>($ 000)</w:t>
            </w:r>
          </w:p>
        </w:tc>
      </w:tr>
      <w:tr w:rsidR="00563A69" w:rsidRPr="005B7A42" w:rsidTr="001A24F1">
        <w:tc>
          <w:tcPr>
            <w:tcW w:w="938" w:type="dxa"/>
            <w:vMerge/>
            <w:tcBorders>
              <w:bottom w:val="single" w:sz="4" w:space="0" w:color="auto"/>
            </w:tcBorders>
            <w:shd w:val="clear" w:color="auto" w:fill="DDD9C3" w:themeFill="background2" w:themeFillShade="E6"/>
            <w:vAlign w:val="bottom"/>
          </w:tcPr>
          <w:p w:rsidR="00563A69" w:rsidRPr="005B7A42" w:rsidRDefault="00563A69" w:rsidP="005865A0">
            <w:pPr>
              <w:pStyle w:val="BodyText"/>
              <w:spacing w:before="40" w:after="20" w:line="240" w:lineRule="auto"/>
              <w:jc w:val="center"/>
              <w:rPr>
                <w:rFonts w:ascii="Arial" w:hAnsi="Arial" w:cs="Arial"/>
                <w:sz w:val="16"/>
                <w:szCs w:val="18"/>
              </w:rPr>
            </w:pPr>
          </w:p>
        </w:tc>
        <w:tc>
          <w:tcPr>
            <w:tcW w:w="839" w:type="dxa"/>
            <w:vMerge/>
            <w:tcBorders>
              <w:bottom w:val="single" w:sz="4" w:space="0" w:color="auto"/>
            </w:tcBorders>
            <w:shd w:val="clear" w:color="auto" w:fill="DDD9C3" w:themeFill="background2" w:themeFillShade="E6"/>
            <w:vAlign w:val="bottom"/>
          </w:tcPr>
          <w:p w:rsidR="00563A69" w:rsidRPr="005B7A42" w:rsidRDefault="00563A69" w:rsidP="005865A0">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AF3803">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5865A0">
            <w:pPr>
              <w:pStyle w:val="BodyText"/>
              <w:spacing w:before="40" w:after="20" w:line="240" w:lineRule="auto"/>
              <w:jc w:val="center"/>
              <w:rPr>
                <w:rFonts w:ascii="Arial" w:hAnsi="Arial" w:cs="Arial"/>
                <w:sz w:val="16"/>
                <w:szCs w:val="18"/>
              </w:rPr>
            </w:pPr>
          </w:p>
        </w:tc>
        <w:tc>
          <w:tcPr>
            <w:tcW w:w="656"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6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700"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30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45"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36" w:type="dxa"/>
            <w:tcBorders>
              <w:top w:val="single" w:sz="4" w:space="0" w:color="auto"/>
              <w:bottom w:val="single" w:sz="4" w:space="0" w:color="auto"/>
              <w:right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20"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5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9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c>
          <w:tcPr>
            <w:tcW w:w="60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D72A90">
            <w:pPr>
              <w:pStyle w:val="BodyText"/>
              <w:spacing w:before="40" w:after="20" w:line="240" w:lineRule="auto"/>
              <w:jc w:val="center"/>
              <w:rPr>
                <w:rFonts w:ascii="Arial" w:hAnsi="Arial" w:cs="Arial"/>
                <w:sz w:val="16"/>
                <w:szCs w:val="18"/>
              </w:rPr>
            </w:pPr>
          </w:p>
        </w:tc>
      </w:tr>
      <w:tr w:rsidR="00AF3803" w:rsidRPr="005B7A42" w:rsidTr="001A24F1">
        <w:tc>
          <w:tcPr>
            <w:tcW w:w="938"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20</w:t>
            </w:r>
          </w:p>
        </w:tc>
        <w:tc>
          <w:tcPr>
            <w:tcW w:w="839"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0.00</w:t>
            </w:r>
          </w:p>
        </w:tc>
        <w:tc>
          <w:tcPr>
            <w:tcW w:w="268" w:type="dxa"/>
            <w:tcBorders>
              <w:top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11.26</w:t>
            </w:r>
          </w:p>
        </w:tc>
        <w:tc>
          <w:tcPr>
            <w:tcW w:w="308" w:type="dxa"/>
            <w:tcBorders>
              <w:top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29.95</w:t>
            </w:r>
          </w:p>
        </w:tc>
        <w:tc>
          <w:tcPr>
            <w:tcW w:w="236" w:type="dxa"/>
            <w:tcBorders>
              <w:top w:val="single" w:sz="4" w:space="0" w:color="auto"/>
              <w:right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0.00</w:t>
            </w:r>
          </w:p>
        </w:tc>
        <w:tc>
          <w:tcPr>
            <w:tcW w:w="252" w:type="dxa"/>
            <w:tcBorders>
              <w:top w:val="single"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27.46</w:t>
            </w:r>
          </w:p>
        </w:tc>
        <w:tc>
          <w:tcPr>
            <w:tcW w:w="266" w:type="dxa"/>
            <w:tcBorders>
              <w:top w:val="single"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45.88</w:t>
            </w:r>
          </w:p>
        </w:tc>
        <w:tc>
          <w:tcPr>
            <w:tcW w:w="266" w:type="dxa"/>
            <w:tcBorders>
              <w:top w:val="single"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C673B4">
            <w:pPr>
              <w:pStyle w:val="BodyText"/>
              <w:spacing w:before="40" w:after="20" w:line="240" w:lineRule="auto"/>
              <w:jc w:val="center"/>
              <w:rPr>
                <w:rFonts w:ascii="Arial" w:hAnsi="Arial" w:cs="Arial"/>
                <w:sz w:val="16"/>
                <w:szCs w:val="18"/>
              </w:rPr>
            </w:pPr>
            <w:r>
              <w:rPr>
                <w:rFonts w:ascii="Arial" w:hAnsi="Arial" w:cs="Arial"/>
                <w:sz w:val="16"/>
                <w:szCs w:val="18"/>
              </w:rPr>
              <w:t>(n=1,494)</w:t>
            </w: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14.73</w:t>
            </w:r>
          </w:p>
        </w:tc>
        <w:tc>
          <w:tcPr>
            <w:tcW w:w="268" w:type="dxa"/>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24.18</w:t>
            </w:r>
          </w:p>
        </w:tc>
        <w:tc>
          <w:tcPr>
            <w:tcW w:w="308" w:type="dxa"/>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33.56</w:t>
            </w:r>
          </w:p>
        </w:tc>
        <w:tc>
          <w:tcPr>
            <w:tcW w:w="236" w:type="dxa"/>
            <w:tcBorders>
              <w:right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24.14</w:t>
            </w:r>
          </w:p>
        </w:tc>
        <w:tc>
          <w:tcPr>
            <w:tcW w:w="252" w:type="dxa"/>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36.21</w:t>
            </w:r>
          </w:p>
        </w:tc>
        <w:tc>
          <w:tcPr>
            <w:tcW w:w="266" w:type="dxa"/>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44.60</w:t>
            </w:r>
          </w:p>
        </w:tc>
        <w:tc>
          <w:tcPr>
            <w:tcW w:w="266" w:type="dxa"/>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7.62</w:t>
            </w:r>
          </w:p>
        </w:tc>
        <w:tc>
          <w:tcPr>
            <w:tcW w:w="268" w:type="dxa"/>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12.50</w:t>
            </w:r>
          </w:p>
        </w:tc>
        <w:tc>
          <w:tcPr>
            <w:tcW w:w="308" w:type="dxa"/>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20.83</w:t>
            </w:r>
          </w:p>
        </w:tc>
        <w:tc>
          <w:tcPr>
            <w:tcW w:w="236" w:type="dxa"/>
            <w:tcBorders>
              <w:right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23.34</w:t>
            </w:r>
          </w:p>
        </w:tc>
        <w:tc>
          <w:tcPr>
            <w:tcW w:w="252" w:type="dxa"/>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31.10</w:t>
            </w:r>
          </w:p>
        </w:tc>
        <w:tc>
          <w:tcPr>
            <w:tcW w:w="266" w:type="dxa"/>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43.68</w:t>
            </w:r>
          </w:p>
        </w:tc>
        <w:tc>
          <w:tcPr>
            <w:tcW w:w="266" w:type="dxa"/>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8.80</w:t>
            </w:r>
          </w:p>
        </w:tc>
        <w:tc>
          <w:tcPr>
            <w:tcW w:w="268" w:type="dxa"/>
            <w:tcBorders>
              <w:bottom w:val="dotted"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10.71</w:t>
            </w:r>
          </w:p>
        </w:tc>
        <w:tc>
          <w:tcPr>
            <w:tcW w:w="308" w:type="dxa"/>
            <w:tcBorders>
              <w:bottom w:val="dotted"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16.12</w:t>
            </w:r>
          </w:p>
        </w:tc>
        <w:tc>
          <w:tcPr>
            <w:tcW w:w="236" w:type="dxa"/>
            <w:tcBorders>
              <w:bottom w:val="dotted" w:sz="4" w:space="0" w:color="auto"/>
              <w:right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13.23</w:t>
            </w:r>
          </w:p>
        </w:tc>
        <w:tc>
          <w:tcPr>
            <w:tcW w:w="252" w:type="dxa"/>
            <w:tcBorders>
              <w:bottom w:val="dotted" w:sz="4" w:space="0" w:color="auto"/>
            </w:tcBorders>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24.50</w:t>
            </w:r>
          </w:p>
        </w:tc>
        <w:tc>
          <w:tcPr>
            <w:tcW w:w="266" w:type="dxa"/>
            <w:tcBorders>
              <w:bottom w:val="dotted" w:sz="4" w:space="0" w:color="auto"/>
            </w:tcBorders>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34.07</w:t>
            </w:r>
          </w:p>
        </w:tc>
        <w:tc>
          <w:tcPr>
            <w:tcW w:w="266" w:type="dxa"/>
            <w:tcBorders>
              <w:bottom w:val="dotted" w:sz="4" w:space="0" w:color="auto"/>
            </w:tcBorders>
            <w:shd w:val="clear" w:color="auto" w:fill="DDD9C3" w:themeFill="background2" w:themeFillShade="E6"/>
            <w:vAlign w:val="center"/>
          </w:tcPr>
          <w:p w:rsidR="00AF3803" w:rsidRPr="009F654D"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r w:rsidR="00D63334">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0.00</w:t>
            </w:r>
          </w:p>
        </w:tc>
        <w:tc>
          <w:tcPr>
            <w:tcW w:w="268" w:type="dxa"/>
            <w:tcBorders>
              <w:top w:val="dotted"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20.94</w:t>
            </w:r>
          </w:p>
        </w:tc>
        <w:tc>
          <w:tcPr>
            <w:tcW w:w="308" w:type="dxa"/>
            <w:tcBorders>
              <w:top w:val="dotted"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31.52</w:t>
            </w:r>
          </w:p>
        </w:tc>
        <w:tc>
          <w:tcPr>
            <w:tcW w:w="236" w:type="dxa"/>
            <w:tcBorders>
              <w:top w:val="dotted" w:sz="4" w:space="0" w:color="auto"/>
              <w:right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0.30</w:t>
            </w:r>
          </w:p>
        </w:tc>
        <w:tc>
          <w:tcPr>
            <w:tcW w:w="252" w:type="dxa"/>
            <w:tcBorders>
              <w:top w:val="dotted"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dotted"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26.73</w:t>
            </w:r>
          </w:p>
        </w:tc>
        <w:tc>
          <w:tcPr>
            <w:tcW w:w="266" w:type="dxa"/>
            <w:tcBorders>
              <w:top w:val="dotted"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42.42</w:t>
            </w:r>
          </w:p>
        </w:tc>
        <w:tc>
          <w:tcPr>
            <w:tcW w:w="266" w:type="dxa"/>
            <w:tcBorders>
              <w:top w:val="dotted" w:sz="4" w:space="0" w:color="auto"/>
            </w:tcBorders>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10.67</w:t>
            </w:r>
          </w:p>
        </w:tc>
        <w:tc>
          <w:tcPr>
            <w:tcW w:w="268" w:type="dxa"/>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21.39</w:t>
            </w:r>
          </w:p>
        </w:tc>
        <w:tc>
          <w:tcPr>
            <w:tcW w:w="308" w:type="dxa"/>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29.00</w:t>
            </w:r>
          </w:p>
        </w:tc>
        <w:tc>
          <w:tcPr>
            <w:tcW w:w="236" w:type="dxa"/>
            <w:tcBorders>
              <w:right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17.98</w:t>
            </w:r>
          </w:p>
        </w:tc>
        <w:tc>
          <w:tcPr>
            <w:tcW w:w="252" w:type="dxa"/>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29.69</w:t>
            </w:r>
          </w:p>
        </w:tc>
        <w:tc>
          <w:tcPr>
            <w:tcW w:w="266" w:type="dxa"/>
            <w:shd w:val="clear" w:color="auto" w:fill="DDD9C3" w:themeFill="background2" w:themeFillShade="E6"/>
            <w:vAlign w:val="center"/>
          </w:tcPr>
          <w:p w:rsidR="00AF3803" w:rsidRPr="009F654D" w:rsidRDefault="00AF3803" w:rsidP="00A14C6E">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5865A0" w:rsidRDefault="00563F68"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38</w:t>
            </w:r>
            <w:r w:rsidR="00AF3803" w:rsidRPr="005865A0">
              <w:rPr>
                <w:rFonts w:ascii="Arial" w:hAnsi="Arial" w:cs="Arial"/>
                <w:sz w:val="16"/>
                <w:szCs w:val="18"/>
              </w:rPr>
              <w:t>.72</w:t>
            </w:r>
          </w:p>
        </w:tc>
        <w:tc>
          <w:tcPr>
            <w:tcW w:w="266" w:type="dxa"/>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12.90</w:t>
            </w:r>
          </w:p>
        </w:tc>
        <w:tc>
          <w:tcPr>
            <w:tcW w:w="268" w:type="dxa"/>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17.56</w:t>
            </w:r>
          </w:p>
        </w:tc>
        <w:tc>
          <w:tcPr>
            <w:tcW w:w="308" w:type="dxa"/>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22.99</w:t>
            </w:r>
          </w:p>
        </w:tc>
        <w:tc>
          <w:tcPr>
            <w:tcW w:w="236" w:type="dxa"/>
            <w:tcBorders>
              <w:right w:val="single" w:sz="4" w:space="0" w:color="auto"/>
            </w:tcBorders>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16.73</w:t>
            </w:r>
          </w:p>
        </w:tc>
        <w:tc>
          <w:tcPr>
            <w:tcW w:w="252" w:type="dxa"/>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28.97</w:t>
            </w:r>
          </w:p>
        </w:tc>
        <w:tc>
          <w:tcPr>
            <w:tcW w:w="266" w:type="dxa"/>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35.85</w:t>
            </w:r>
          </w:p>
        </w:tc>
        <w:tc>
          <w:tcPr>
            <w:tcW w:w="266" w:type="dxa"/>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Borders>
              <w:bottom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9.68</w:t>
            </w:r>
          </w:p>
        </w:tc>
        <w:tc>
          <w:tcPr>
            <w:tcW w:w="268" w:type="dxa"/>
            <w:tcBorders>
              <w:bottom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15.23</w:t>
            </w:r>
          </w:p>
        </w:tc>
        <w:tc>
          <w:tcPr>
            <w:tcW w:w="308" w:type="dxa"/>
            <w:tcBorders>
              <w:bottom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5865A0" w:rsidRDefault="00AF3803" w:rsidP="005865A0">
            <w:pPr>
              <w:pStyle w:val="BodyText"/>
              <w:spacing w:before="40" w:after="20" w:line="240" w:lineRule="auto"/>
              <w:ind w:right="-50"/>
              <w:jc w:val="right"/>
              <w:rPr>
                <w:rFonts w:ascii="Arial" w:hAnsi="Arial" w:cs="Arial"/>
                <w:sz w:val="16"/>
                <w:szCs w:val="18"/>
              </w:rPr>
            </w:pPr>
            <w:r w:rsidRPr="005865A0">
              <w:rPr>
                <w:rFonts w:ascii="Arial" w:hAnsi="Arial" w:cs="Arial"/>
                <w:sz w:val="16"/>
                <w:szCs w:val="18"/>
              </w:rPr>
              <w:t>18.31</w:t>
            </w:r>
          </w:p>
        </w:tc>
        <w:tc>
          <w:tcPr>
            <w:tcW w:w="236" w:type="dxa"/>
            <w:tcBorders>
              <w:bottom w:val="single" w:sz="4" w:space="0" w:color="auto"/>
              <w:right w:val="single" w:sz="4" w:space="0" w:color="auto"/>
            </w:tcBorders>
            <w:shd w:val="clear" w:color="auto" w:fill="DDD9C3" w:themeFill="background2" w:themeFillShade="E6"/>
            <w:vAlign w:val="center"/>
          </w:tcPr>
          <w:p w:rsidR="00AF3803" w:rsidRPr="009F654D" w:rsidRDefault="00AF3803" w:rsidP="005865A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16.25</w:t>
            </w:r>
          </w:p>
        </w:tc>
        <w:tc>
          <w:tcPr>
            <w:tcW w:w="252" w:type="dxa"/>
            <w:tcBorders>
              <w:bottom w:val="single" w:sz="4" w:space="0" w:color="auto"/>
            </w:tcBorders>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single"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22.34</w:t>
            </w:r>
          </w:p>
        </w:tc>
        <w:tc>
          <w:tcPr>
            <w:tcW w:w="266" w:type="dxa"/>
            <w:tcBorders>
              <w:bottom w:val="single" w:sz="4" w:space="0" w:color="auto"/>
            </w:tcBorders>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5865A0" w:rsidRDefault="00A813D9" w:rsidP="005865A0">
            <w:pPr>
              <w:pStyle w:val="BodyText"/>
              <w:spacing w:before="40" w:after="20" w:line="240" w:lineRule="auto"/>
              <w:ind w:right="-50"/>
              <w:jc w:val="right"/>
              <w:rPr>
                <w:rFonts w:ascii="Arial" w:hAnsi="Arial" w:cs="Arial"/>
                <w:sz w:val="16"/>
                <w:szCs w:val="18"/>
              </w:rPr>
            </w:pPr>
            <w:r>
              <w:rPr>
                <w:rFonts w:ascii="Arial" w:hAnsi="Arial" w:cs="Arial"/>
                <w:sz w:val="16"/>
                <w:szCs w:val="18"/>
              </w:rPr>
              <w:t>31.90</w:t>
            </w:r>
          </w:p>
        </w:tc>
        <w:tc>
          <w:tcPr>
            <w:tcW w:w="266" w:type="dxa"/>
            <w:tcBorders>
              <w:bottom w:val="single" w:sz="4" w:space="0" w:color="auto"/>
            </w:tcBorders>
            <w:shd w:val="clear" w:color="auto" w:fill="DDD9C3" w:themeFill="background2" w:themeFillShade="E6"/>
            <w:vAlign w:val="center"/>
          </w:tcPr>
          <w:p w:rsidR="00AF3803" w:rsidRPr="009F654D"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30</w:t>
            </w:r>
          </w:p>
        </w:tc>
        <w:tc>
          <w:tcPr>
            <w:tcW w:w="839"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34.21</w:t>
            </w:r>
          </w:p>
        </w:tc>
        <w:tc>
          <w:tcPr>
            <w:tcW w:w="268" w:type="dxa"/>
            <w:tcBorders>
              <w:top w:val="single" w:sz="4" w:space="0" w:color="auto"/>
            </w:tcBorders>
            <w:vAlign w:val="bottom"/>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45.42</w:t>
            </w:r>
          </w:p>
        </w:tc>
        <w:tc>
          <w:tcPr>
            <w:tcW w:w="308" w:type="dxa"/>
            <w:tcBorders>
              <w:top w:val="single" w:sz="4" w:space="0" w:color="auto"/>
            </w:tcBorders>
            <w:vAlign w:val="bottom"/>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55.59</w:t>
            </w:r>
          </w:p>
        </w:tc>
        <w:tc>
          <w:tcPr>
            <w:tcW w:w="236" w:type="dxa"/>
            <w:tcBorders>
              <w:top w:val="single" w:sz="4" w:space="0" w:color="auto"/>
              <w:right w:val="single" w:sz="4" w:space="0" w:color="auto"/>
            </w:tcBorders>
            <w:vAlign w:val="bottom"/>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34.84</w:t>
            </w:r>
          </w:p>
        </w:tc>
        <w:tc>
          <w:tcPr>
            <w:tcW w:w="252" w:type="dxa"/>
            <w:tcBorders>
              <w:top w:val="single"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51.70</w:t>
            </w:r>
          </w:p>
        </w:tc>
        <w:tc>
          <w:tcPr>
            <w:tcW w:w="266" w:type="dxa"/>
            <w:tcBorders>
              <w:top w:val="single" w:sz="4" w:space="0" w:color="auto"/>
            </w:tcBorders>
            <w:vAlign w:val="bottom"/>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64.68</w:t>
            </w:r>
          </w:p>
        </w:tc>
        <w:tc>
          <w:tcPr>
            <w:tcW w:w="266" w:type="dxa"/>
            <w:tcBorders>
              <w:top w:val="single" w:sz="4" w:space="0" w:color="auto"/>
            </w:tcBorders>
            <w:vAlign w:val="bottom"/>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r>
              <w:rPr>
                <w:rFonts w:ascii="Arial" w:hAnsi="Arial" w:cs="Arial"/>
                <w:sz w:val="16"/>
                <w:szCs w:val="18"/>
              </w:rPr>
              <w:t>(n=1,440)</w:t>
            </w: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19.63</w:t>
            </w:r>
          </w:p>
        </w:tc>
        <w:tc>
          <w:tcPr>
            <w:tcW w:w="268" w:type="dxa"/>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32.44</w:t>
            </w:r>
          </w:p>
        </w:tc>
        <w:tc>
          <w:tcPr>
            <w:tcW w:w="308" w:type="dxa"/>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43.31</w:t>
            </w:r>
          </w:p>
        </w:tc>
        <w:tc>
          <w:tcPr>
            <w:tcW w:w="236" w:type="dxa"/>
            <w:tcBorders>
              <w:right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22.19</w:t>
            </w:r>
          </w:p>
        </w:tc>
        <w:tc>
          <w:tcPr>
            <w:tcW w:w="252"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shd w:val="clear" w:color="auto" w:fill="DDD9C3" w:themeFill="background2" w:themeFillShade="E6"/>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37.67</w:t>
            </w:r>
          </w:p>
        </w:tc>
        <w:tc>
          <w:tcPr>
            <w:tcW w:w="266" w:type="dxa"/>
            <w:shd w:val="clear" w:color="auto" w:fill="DDD9C3" w:themeFill="background2" w:themeFillShade="E6"/>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48.30</w:t>
            </w:r>
          </w:p>
        </w:tc>
        <w:tc>
          <w:tcPr>
            <w:tcW w:w="266" w:type="dxa"/>
            <w:shd w:val="clear" w:color="auto" w:fill="DDD9C3" w:themeFill="background2" w:themeFillShade="E6"/>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11.39</w:t>
            </w:r>
          </w:p>
        </w:tc>
        <w:tc>
          <w:tcPr>
            <w:tcW w:w="268" w:type="dxa"/>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14.59</w:t>
            </w:r>
          </w:p>
        </w:tc>
        <w:tc>
          <w:tcPr>
            <w:tcW w:w="308" w:type="dxa"/>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23.92</w:t>
            </w:r>
          </w:p>
        </w:tc>
        <w:tc>
          <w:tcPr>
            <w:tcW w:w="236" w:type="dxa"/>
            <w:tcBorders>
              <w:right w:val="single" w:sz="4" w:space="0" w:color="auto"/>
            </w:tcBorders>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14.48</w:t>
            </w:r>
          </w:p>
        </w:tc>
        <w:tc>
          <w:tcPr>
            <w:tcW w:w="252" w:type="dxa"/>
          </w:tcPr>
          <w:p w:rsidR="00AF3803" w:rsidRPr="005B7A42" w:rsidRDefault="00D63334"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17.65</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714E66" w:rsidRDefault="00A813D9"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48.29</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11.38</w:t>
            </w:r>
          </w:p>
        </w:tc>
        <w:tc>
          <w:tcPr>
            <w:tcW w:w="268" w:type="dxa"/>
            <w:tcBorders>
              <w:bottom w:val="dotted"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15.54</w:t>
            </w:r>
          </w:p>
        </w:tc>
        <w:tc>
          <w:tcPr>
            <w:tcW w:w="308" w:type="dxa"/>
            <w:tcBorders>
              <w:bottom w:val="dotted"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20.21</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15.94</w:t>
            </w:r>
          </w:p>
        </w:tc>
        <w:tc>
          <w:tcPr>
            <w:tcW w:w="252" w:type="dxa"/>
            <w:tcBorders>
              <w:bottom w:val="dotted" w:sz="4" w:space="0" w:color="auto"/>
            </w:tcBorders>
            <w:shd w:val="clear" w:color="auto" w:fill="DDD9C3" w:themeFill="background2" w:themeFillShade="E6"/>
          </w:tcPr>
          <w:p w:rsidR="00AF3803" w:rsidRPr="005B7A42" w:rsidRDefault="00AF3803" w:rsidP="007F365F">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23.20</w:t>
            </w:r>
          </w:p>
        </w:tc>
        <w:tc>
          <w:tcPr>
            <w:tcW w:w="266" w:type="dxa"/>
            <w:tcBorders>
              <w:bottom w:val="dotted"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36.56</w:t>
            </w:r>
          </w:p>
        </w:tc>
        <w:tc>
          <w:tcPr>
            <w:tcW w:w="266" w:type="dxa"/>
            <w:tcBorders>
              <w:bottom w:val="dotted"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12.57</w:t>
            </w:r>
          </w:p>
        </w:tc>
        <w:tc>
          <w:tcPr>
            <w:tcW w:w="268" w:type="dxa"/>
            <w:tcBorders>
              <w:top w:val="dotted" w:sz="4" w:space="0" w:color="auto"/>
            </w:tcBorders>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32.62</w:t>
            </w:r>
          </w:p>
        </w:tc>
        <w:tc>
          <w:tcPr>
            <w:tcW w:w="308" w:type="dxa"/>
            <w:tcBorders>
              <w:top w:val="dotted" w:sz="4" w:space="0" w:color="auto"/>
            </w:tcBorders>
            <w:vAlign w:val="bottom"/>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46.39</w:t>
            </w:r>
          </w:p>
        </w:tc>
        <w:tc>
          <w:tcPr>
            <w:tcW w:w="236" w:type="dxa"/>
            <w:tcBorders>
              <w:top w:val="dotted" w:sz="4" w:space="0" w:color="auto"/>
              <w:right w:val="single" w:sz="4" w:space="0" w:color="auto"/>
            </w:tcBorders>
            <w:vAlign w:val="bottom"/>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15.16</w:t>
            </w:r>
          </w:p>
        </w:tc>
        <w:tc>
          <w:tcPr>
            <w:tcW w:w="252" w:type="dxa"/>
            <w:tcBorders>
              <w:top w:val="dotted" w:sz="4" w:space="0" w:color="auto"/>
            </w:tcBorders>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dotted" w:sz="4" w:space="0" w:color="auto"/>
            </w:tcBorders>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34.46</w:t>
            </w:r>
          </w:p>
        </w:tc>
        <w:tc>
          <w:tcPr>
            <w:tcW w:w="266" w:type="dxa"/>
            <w:tcBorders>
              <w:top w:val="dotted"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dotted" w:sz="4" w:space="0" w:color="auto"/>
            </w:tcBorders>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49.67</w:t>
            </w:r>
          </w:p>
        </w:tc>
        <w:tc>
          <w:tcPr>
            <w:tcW w:w="266" w:type="dxa"/>
            <w:tcBorders>
              <w:top w:val="dotted"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7.83</w:t>
            </w:r>
          </w:p>
        </w:tc>
        <w:tc>
          <w:tcPr>
            <w:tcW w:w="268" w:type="dxa"/>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22.54</w:t>
            </w:r>
          </w:p>
        </w:tc>
        <w:tc>
          <w:tcPr>
            <w:tcW w:w="308" w:type="dxa"/>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35.35</w:t>
            </w:r>
          </w:p>
        </w:tc>
        <w:tc>
          <w:tcPr>
            <w:tcW w:w="236" w:type="dxa"/>
            <w:tcBorders>
              <w:right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15.59</w:t>
            </w:r>
          </w:p>
        </w:tc>
        <w:tc>
          <w:tcPr>
            <w:tcW w:w="252"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31.48</w:t>
            </w:r>
          </w:p>
        </w:tc>
        <w:tc>
          <w:tcPr>
            <w:tcW w:w="266"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44.43</w:t>
            </w:r>
          </w:p>
        </w:tc>
        <w:tc>
          <w:tcPr>
            <w:tcW w:w="266"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15.96</w:t>
            </w:r>
          </w:p>
        </w:tc>
        <w:tc>
          <w:tcPr>
            <w:tcW w:w="268" w:type="dxa"/>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18.26</w:t>
            </w:r>
          </w:p>
        </w:tc>
        <w:tc>
          <w:tcPr>
            <w:tcW w:w="308" w:type="dxa"/>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22.75</w:t>
            </w:r>
          </w:p>
        </w:tc>
        <w:tc>
          <w:tcPr>
            <w:tcW w:w="236" w:type="dxa"/>
            <w:tcBorders>
              <w:right w:val="single" w:sz="4" w:space="0" w:color="auto"/>
            </w:tcBorders>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17.97</w:t>
            </w:r>
          </w:p>
        </w:tc>
        <w:tc>
          <w:tcPr>
            <w:tcW w:w="252" w:type="dxa"/>
          </w:tcPr>
          <w:p w:rsidR="00AF3803" w:rsidRPr="005B7A42" w:rsidRDefault="00D63334"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24.73</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33.11</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Borders>
              <w:bottom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15.01</w:t>
            </w:r>
          </w:p>
        </w:tc>
        <w:tc>
          <w:tcPr>
            <w:tcW w:w="268" w:type="dxa"/>
            <w:tcBorders>
              <w:bottom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17.88</w:t>
            </w:r>
          </w:p>
        </w:tc>
        <w:tc>
          <w:tcPr>
            <w:tcW w:w="308" w:type="dxa"/>
            <w:tcBorders>
              <w:bottom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714E66" w:rsidRDefault="00AF3803" w:rsidP="00A10D80">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20.07</w:t>
            </w:r>
          </w:p>
        </w:tc>
        <w:tc>
          <w:tcPr>
            <w:tcW w:w="236" w:type="dxa"/>
            <w:tcBorders>
              <w:bottom w:val="single" w:sz="4" w:space="0" w:color="auto"/>
              <w:right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16.26</w:t>
            </w:r>
          </w:p>
        </w:tc>
        <w:tc>
          <w:tcPr>
            <w:tcW w:w="252" w:type="dxa"/>
            <w:tcBorders>
              <w:bottom w:val="single" w:sz="4" w:space="0" w:color="auto"/>
            </w:tcBorders>
            <w:shd w:val="clear" w:color="auto" w:fill="DDD9C3" w:themeFill="background2" w:themeFillShade="E6"/>
          </w:tcPr>
          <w:p w:rsidR="00AF3803" w:rsidRPr="005B7A42" w:rsidRDefault="00D63334" w:rsidP="00E97983">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single"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20.74</w:t>
            </w:r>
          </w:p>
        </w:tc>
        <w:tc>
          <w:tcPr>
            <w:tcW w:w="266" w:type="dxa"/>
            <w:tcBorders>
              <w:bottom w:val="single" w:sz="4" w:space="0" w:color="auto"/>
            </w:tcBorders>
            <w:shd w:val="clear" w:color="auto" w:fill="DDD9C3" w:themeFill="background2" w:themeFillShade="E6"/>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714E66" w:rsidRDefault="00DF2546" w:rsidP="00A10D80">
            <w:pPr>
              <w:pStyle w:val="BodyText"/>
              <w:spacing w:before="40" w:after="20" w:line="240" w:lineRule="auto"/>
              <w:ind w:right="-50"/>
              <w:jc w:val="right"/>
              <w:rPr>
                <w:rFonts w:ascii="Arial" w:hAnsi="Arial" w:cs="Arial"/>
                <w:sz w:val="16"/>
                <w:szCs w:val="18"/>
              </w:rPr>
            </w:pPr>
            <w:r>
              <w:rPr>
                <w:rFonts w:ascii="Arial" w:hAnsi="Arial" w:cs="Arial"/>
                <w:sz w:val="16"/>
                <w:szCs w:val="18"/>
              </w:rPr>
              <w:t>32.58</w:t>
            </w:r>
          </w:p>
        </w:tc>
        <w:tc>
          <w:tcPr>
            <w:tcW w:w="266" w:type="dxa"/>
            <w:tcBorders>
              <w:bottom w:val="single"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Borders>
              <w:top w:val="single"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r>
              <w:rPr>
                <w:rFonts w:ascii="Arial" w:hAnsi="Arial" w:cs="Arial"/>
                <w:sz w:val="16"/>
                <w:szCs w:val="18"/>
              </w:rPr>
              <w:t>40</w:t>
            </w:r>
          </w:p>
        </w:tc>
        <w:tc>
          <w:tcPr>
            <w:tcW w:w="839" w:type="dxa"/>
            <w:tcBorders>
              <w:top w:val="single"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33.49</w:t>
            </w:r>
          </w:p>
        </w:tc>
        <w:tc>
          <w:tcPr>
            <w:tcW w:w="268" w:type="dxa"/>
            <w:tcBorders>
              <w:top w:val="single" w:sz="4" w:space="0" w:color="auto"/>
            </w:tcBorders>
            <w:vAlign w:val="bottom"/>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50.05</w:t>
            </w:r>
          </w:p>
        </w:tc>
        <w:tc>
          <w:tcPr>
            <w:tcW w:w="308" w:type="dxa"/>
            <w:tcBorders>
              <w:top w:val="single" w:sz="4" w:space="0" w:color="auto"/>
            </w:tcBorders>
            <w:vAlign w:val="bottom"/>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58.24</w:t>
            </w:r>
          </w:p>
        </w:tc>
        <w:tc>
          <w:tcPr>
            <w:tcW w:w="236" w:type="dxa"/>
            <w:tcBorders>
              <w:top w:val="single" w:sz="4" w:space="0" w:color="auto"/>
              <w:right w:val="single" w:sz="4" w:space="0" w:color="auto"/>
            </w:tcBorders>
            <w:vAlign w:val="bottom"/>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37.89</w:t>
            </w:r>
          </w:p>
        </w:tc>
        <w:tc>
          <w:tcPr>
            <w:tcW w:w="252" w:type="dxa"/>
            <w:tcBorders>
              <w:top w:val="single"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50.90</w:t>
            </w:r>
          </w:p>
        </w:tc>
        <w:tc>
          <w:tcPr>
            <w:tcW w:w="266" w:type="dxa"/>
            <w:tcBorders>
              <w:top w:val="single"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65.62</w:t>
            </w:r>
          </w:p>
        </w:tc>
        <w:tc>
          <w:tcPr>
            <w:tcW w:w="266" w:type="dxa"/>
            <w:tcBorders>
              <w:top w:val="single"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r>
              <w:rPr>
                <w:rFonts w:ascii="Arial" w:hAnsi="Arial" w:cs="Arial"/>
                <w:sz w:val="16"/>
                <w:szCs w:val="18"/>
              </w:rPr>
              <w:t>(n=1,257)</w:t>
            </w: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7.64</w:t>
            </w:r>
          </w:p>
        </w:tc>
        <w:tc>
          <w:tcPr>
            <w:tcW w:w="268" w:type="dxa"/>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29.72</w:t>
            </w:r>
          </w:p>
        </w:tc>
        <w:tc>
          <w:tcPr>
            <w:tcW w:w="308" w:type="dxa"/>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44.78</w:t>
            </w:r>
          </w:p>
        </w:tc>
        <w:tc>
          <w:tcPr>
            <w:tcW w:w="236" w:type="dxa"/>
            <w:tcBorders>
              <w:right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22.46</w:t>
            </w:r>
          </w:p>
        </w:tc>
        <w:tc>
          <w:tcPr>
            <w:tcW w:w="252"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35.97</w:t>
            </w:r>
          </w:p>
        </w:tc>
        <w:tc>
          <w:tcPr>
            <w:tcW w:w="266" w:type="dxa"/>
            <w:shd w:val="clear" w:color="auto" w:fill="DDD9C3" w:themeFill="background2" w:themeFillShade="E6"/>
          </w:tcPr>
          <w:p w:rsidR="00AF3803" w:rsidRPr="005B7A42" w:rsidRDefault="00D63334"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47.54</w:t>
            </w:r>
          </w:p>
        </w:tc>
        <w:tc>
          <w:tcPr>
            <w:tcW w:w="266"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11.38</w:t>
            </w:r>
          </w:p>
        </w:tc>
        <w:tc>
          <w:tcPr>
            <w:tcW w:w="268" w:type="dxa"/>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18.59</w:t>
            </w:r>
          </w:p>
        </w:tc>
        <w:tc>
          <w:tcPr>
            <w:tcW w:w="308" w:type="dxa"/>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26.52</w:t>
            </w:r>
          </w:p>
        </w:tc>
        <w:tc>
          <w:tcPr>
            <w:tcW w:w="236" w:type="dxa"/>
            <w:tcBorders>
              <w:right w:val="single" w:sz="4" w:space="0" w:color="auto"/>
            </w:tcBorders>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14.49</w:t>
            </w:r>
          </w:p>
        </w:tc>
        <w:tc>
          <w:tcPr>
            <w:tcW w:w="252"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25.87</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45.08</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11.61</w:t>
            </w:r>
          </w:p>
        </w:tc>
        <w:tc>
          <w:tcPr>
            <w:tcW w:w="268" w:type="dxa"/>
            <w:tcBorders>
              <w:bottom w:val="dotted"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16.04</w:t>
            </w:r>
          </w:p>
        </w:tc>
        <w:tc>
          <w:tcPr>
            <w:tcW w:w="308" w:type="dxa"/>
            <w:tcBorders>
              <w:bottom w:val="dotted"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18.84</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13.31</w:t>
            </w:r>
          </w:p>
        </w:tc>
        <w:tc>
          <w:tcPr>
            <w:tcW w:w="252" w:type="dxa"/>
            <w:tcBorders>
              <w:bottom w:val="dotted"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dotted"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18.35</w:t>
            </w:r>
          </w:p>
        </w:tc>
        <w:tc>
          <w:tcPr>
            <w:tcW w:w="266" w:type="dxa"/>
            <w:tcBorders>
              <w:bottom w:val="dotted"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bottom w:val="dotted"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34.37</w:t>
            </w:r>
          </w:p>
        </w:tc>
        <w:tc>
          <w:tcPr>
            <w:tcW w:w="266" w:type="dxa"/>
            <w:tcBorders>
              <w:bottom w:val="dotted"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top w:val="dotted"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13.06</w:t>
            </w:r>
          </w:p>
        </w:tc>
        <w:tc>
          <w:tcPr>
            <w:tcW w:w="268" w:type="dxa"/>
            <w:tcBorders>
              <w:top w:val="dotted" w:sz="4" w:space="0" w:color="auto"/>
            </w:tcBorders>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29.95</w:t>
            </w:r>
          </w:p>
        </w:tc>
        <w:tc>
          <w:tcPr>
            <w:tcW w:w="308" w:type="dxa"/>
            <w:tcBorders>
              <w:top w:val="dotted" w:sz="4" w:space="0" w:color="auto"/>
            </w:tcBorders>
            <w:vAlign w:val="bottom"/>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44.87</w:t>
            </w:r>
          </w:p>
        </w:tc>
        <w:tc>
          <w:tcPr>
            <w:tcW w:w="236" w:type="dxa"/>
            <w:tcBorders>
              <w:top w:val="dotted" w:sz="4" w:space="0" w:color="auto"/>
              <w:right w:val="single" w:sz="4" w:space="0" w:color="auto"/>
            </w:tcBorders>
            <w:vAlign w:val="bottom"/>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17.70</w:t>
            </w:r>
          </w:p>
        </w:tc>
        <w:tc>
          <w:tcPr>
            <w:tcW w:w="252" w:type="dxa"/>
            <w:tcBorders>
              <w:top w:val="dotted" w:sz="4" w:space="0" w:color="auto"/>
            </w:tcBorders>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top w:val="dotted"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35.56</w:t>
            </w:r>
          </w:p>
        </w:tc>
        <w:tc>
          <w:tcPr>
            <w:tcW w:w="266" w:type="dxa"/>
            <w:tcBorders>
              <w:top w:val="dotted" w:sz="4" w:space="0" w:color="auto"/>
            </w:tcBorders>
            <w:vAlign w:val="bottom"/>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50.77</w:t>
            </w:r>
          </w:p>
        </w:tc>
        <w:tc>
          <w:tcPr>
            <w:tcW w:w="266" w:type="dxa"/>
            <w:tcBorders>
              <w:top w:val="dotted" w:sz="4" w:space="0" w:color="auto"/>
            </w:tcBorders>
            <w:vAlign w:val="bottom"/>
          </w:tcPr>
          <w:p w:rsidR="00AF3803" w:rsidRPr="005B7A42" w:rsidRDefault="00AF3803" w:rsidP="00D63334">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4.60</w:t>
            </w:r>
          </w:p>
        </w:tc>
        <w:tc>
          <w:tcPr>
            <w:tcW w:w="268" w:type="dxa"/>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15.93</w:t>
            </w:r>
          </w:p>
        </w:tc>
        <w:tc>
          <w:tcPr>
            <w:tcW w:w="308" w:type="dxa"/>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27.99</w:t>
            </w:r>
          </w:p>
        </w:tc>
        <w:tc>
          <w:tcPr>
            <w:tcW w:w="236" w:type="dxa"/>
            <w:tcBorders>
              <w:right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12.34</w:t>
            </w:r>
          </w:p>
        </w:tc>
        <w:tc>
          <w:tcPr>
            <w:tcW w:w="252"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25.28</w:t>
            </w:r>
          </w:p>
        </w:tc>
        <w:tc>
          <w:tcPr>
            <w:tcW w:w="266"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39.28</w:t>
            </w:r>
          </w:p>
        </w:tc>
        <w:tc>
          <w:tcPr>
            <w:tcW w:w="266" w:type="dxa"/>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17.28</w:t>
            </w:r>
          </w:p>
        </w:tc>
        <w:tc>
          <w:tcPr>
            <w:tcW w:w="268" w:type="dxa"/>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18.61</w:t>
            </w:r>
          </w:p>
        </w:tc>
        <w:tc>
          <w:tcPr>
            <w:tcW w:w="308" w:type="dxa"/>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24.98</w:t>
            </w:r>
          </w:p>
        </w:tc>
        <w:tc>
          <w:tcPr>
            <w:tcW w:w="236" w:type="dxa"/>
            <w:tcBorders>
              <w:right w:val="single" w:sz="4" w:space="0" w:color="auto"/>
            </w:tcBorders>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16.28</w:t>
            </w:r>
          </w:p>
        </w:tc>
        <w:tc>
          <w:tcPr>
            <w:tcW w:w="252"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22.33</w:t>
            </w:r>
          </w:p>
        </w:tc>
        <w:tc>
          <w:tcPr>
            <w:tcW w:w="266" w:type="dxa"/>
          </w:tcPr>
          <w:p w:rsidR="00AF3803" w:rsidRPr="005B7A42" w:rsidRDefault="00D63334"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33.79</w:t>
            </w:r>
          </w:p>
        </w:tc>
        <w:tc>
          <w:tcPr>
            <w:tcW w:w="266" w:type="dxa"/>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938" w:type="dxa"/>
            <w:tcBorders>
              <w:bottom w:val="single" w:sz="4" w:space="0" w:color="auto"/>
            </w:tcBorders>
            <w:vAlign w:val="bottom"/>
          </w:tcPr>
          <w:p w:rsidR="00AF3803" w:rsidRPr="005B7A42" w:rsidRDefault="00AF3803" w:rsidP="005865A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5865A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5865A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14.80</w:t>
            </w:r>
          </w:p>
        </w:tc>
        <w:tc>
          <w:tcPr>
            <w:tcW w:w="268" w:type="dxa"/>
            <w:tcBorders>
              <w:bottom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17.88</w:t>
            </w:r>
          </w:p>
        </w:tc>
        <w:tc>
          <w:tcPr>
            <w:tcW w:w="308" w:type="dxa"/>
            <w:tcBorders>
              <w:bottom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714E66" w:rsidRDefault="00AF3803" w:rsidP="00714E66">
            <w:pPr>
              <w:pStyle w:val="BodyText"/>
              <w:spacing w:before="40" w:after="20" w:line="240" w:lineRule="auto"/>
              <w:ind w:right="-50"/>
              <w:jc w:val="right"/>
              <w:rPr>
                <w:rFonts w:ascii="Arial" w:hAnsi="Arial" w:cs="Arial"/>
                <w:sz w:val="16"/>
                <w:szCs w:val="18"/>
              </w:rPr>
            </w:pPr>
            <w:r w:rsidRPr="00714E66">
              <w:rPr>
                <w:rFonts w:ascii="Arial" w:hAnsi="Arial" w:cs="Arial"/>
                <w:sz w:val="16"/>
                <w:szCs w:val="18"/>
              </w:rPr>
              <w:t>20.76</w:t>
            </w:r>
          </w:p>
        </w:tc>
        <w:tc>
          <w:tcPr>
            <w:tcW w:w="236" w:type="dxa"/>
            <w:tcBorders>
              <w:bottom w:val="single" w:sz="4" w:space="0" w:color="auto"/>
              <w:right w:val="single" w:sz="4" w:space="0" w:color="auto"/>
            </w:tcBorders>
            <w:shd w:val="clear" w:color="auto" w:fill="DDD9C3" w:themeFill="background2" w:themeFillShade="E6"/>
          </w:tcPr>
          <w:p w:rsidR="00AF3803" w:rsidRPr="005B7A42" w:rsidRDefault="00AF3803" w:rsidP="00714E66">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14.95</w:t>
            </w:r>
          </w:p>
        </w:tc>
        <w:tc>
          <w:tcPr>
            <w:tcW w:w="252" w:type="dxa"/>
            <w:tcBorders>
              <w:bottom w:val="single"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single"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22.49</w:t>
            </w:r>
          </w:p>
        </w:tc>
        <w:tc>
          <w:tcPr>
            <w:tcW w:w="266" w:type="dxa"/>
            <w:tcBorders>
              <w:bottom w:val="single"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714E66" w:rsidRDefault="00DF2546" w:rsidP="00714E66">
            <w:pPr>
              <w:pStyle w:val="BodyText"/>
              <w:spacing w:before="40" w:after="20" w:line="240" w:lineRule="auto"/>
              <w:ind w:right="-50"/>
              <w:jc w:val="right"/>
              <w:rPr>
                <w:rFonts w:ascii="Arial" w:hAnsi="Arial" w:cs="Arial"/>
                <w:sz w:val="16"/>
                <w:szCs w:val="18"/>
              </w:rPr>
            </w:pPr>
            <w:r>
              <w:rPr>
                <w:rFonts w:ascii="Arial" w:hAnsi="Arial" w:cs="Arial"/>
                <w:sz w:val="16"/>
                <w:szCs w:val="18"/>
              </w:rPr>
              <w:t>34.71</w:t>
            </w:r>
          </w:p>
        </w:tc>
        <w:tc>
          <w:tcPr>
            <w:tcW w:w="266" w:type="dxa"/>
            <w:tcBorders>
              <w:bottom w:val="single" w:sz="4" w:space="0" w:color="auto"/>
            </w:tcBorders>
            <w:shd w:val="clear" w:color="auto" w:fill="DDD9C3" w:themeFill="background2" w:themeFillShade="E6"/>
          </w:tcPr>
          <w:p w:rsidR="00AF3803" w:rsidRPr="005B7A42" w:rsidRDefault="00AF3803" w:rsidP="006F35AD">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bl>
    <w:p w:rsidR="004D2C0C" w:rsidRPr="004D2C0C" w:rsidRDefault="00543995" w:rsidP="004D2C0C">
      <w:pPr>
        <w:spacing w:before="120" w:after="240"/>
        <w:rPr>
          <w:rFonts w:ascii="Arial" w:hAnsi="Arial" w:cs="Arial"/>
          <w:sz w:val="16"/>
          <w:szCs w:val="16"/>
        </w:rPr>
      </w:pPr>
      <w:r>
        <w:rPr>
          <w:rFonts w:ascii="Arial" w:hAnsi="Arial" w:cs="Arial"/>
          <w:sz w:val="16"/>
          <w:szCs w:val="16"/>
        </w:rPr>
        <w:t>The probability (p) that a given post-completion income is greater than the income before study is indicated by</w:t>
      </w:r>
      <w:proofErr w:type="gramStart"/>
      <w:r>
        <w:rPr>
          <w:rFonts w:ascii="Arial" w:hAnsi="Arial" w:cs="Arial"/>
          <w:sz w:val="16"/>
          <w:szCs w:val="16"/>
        </w:rPr>
        <w:t>:</w:t>
      </w:r>
      <w:proofErr w:type="gramEnd"/>
      <w:r>
        <w:rPr>
          <w:rFonts w:ascii="Arial" w:hAnsi="Arial" w:cs="Arial"/>
          <w:sz w:val="16"/>
          <w:szCs w:val="16"/>
        </w:rPr>
        <w:br/>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 xml:space="preserve">0.001;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 different</w:t>
      </w:r>
      <w:r w:rsidRPr="00E359BE">
        <w:rPr>
          <w:rFonts w:ascii="Arial" w:hAnsi="Arial" w:cs="Arial"/>
          <w:sz w:val="16"/>
          <w:szCs w:val="16"/>
        </w:rPr>
        <w:t>.</w:t>
      </w:r>
      <w:r w:rsidR="004D2C0C">
        <w:rPr>
          <w:rFonts w:ascii="Arial" w:hAnsi="Arial" w:cs="Arial"/>
          <w:sz w:val="16"/>
          <w:szCs w:val="16"/>
        </w:rPr>
        <w:br/>
      </w:r>
      <w:r w:rsidR="004D2C0C" w:rsidRPr="004D2C0C">
        <w:rPr>
          <w:rFonts w:ascii="Arial" w:hAnsi="Arial" w:cs="Arial"/>
          <w:sz w:val="16"/>
          <w:szCs w:val="16"/>
        </w:rPr>
        <w:t xml:space="preserve">Source: Statistics New Zealand, Integrated Data Infrastructure, Ministry of Education interpretation. </w:t>
      </w:r>
    </w:p>
    <w:p w:rsidR="005B7A42" w:rsidRDefault="005B7A42">
      <w:pPr>
        <w:rPr>
          <w:rFonts w:ascii="Arial" w:hAnsi="Arial" w:cs="Arial"/>
          <w:b/>
          <w:bCs/>
          <w:sz w:val="20"/>
          <w:szCs w:val="20"/>
        </w:rPr>
      </w:pPr>
      <w:r>
        <w:br w:type="page"/>
      </w:r>
    </w:p>
    <w:p w:rsidR="005B7A42" w:rsidRPr="00AD254B" w:rsidRDefault="005B7A42" w:rsidP="005B7A42">
      <w:pPr>
        <w:pStyle w:val="Caption"/>
        <w:rPr>
          <w:sz w:val="16"/>
        </w:rPr>
      </w:pPr>
      <w:proofErr w:type="gramStart"/>
      <w:r w:rsidRPr="004D2C0C">
        <w:rPr>
          <w:sz w:val="16"/>
          <w:szCs w:val="16"/>
        </w:rPr>
        <w:lastRenderedPageBreak/>
        <w:t xml:space="preserve">Table </w:t>
      </w:r>
      <w:r w:rsidR="0092253D" w:rsidRPr="004D2C0C">
        <w:rPr>
          <w:sz w:val="16"/>
          <w:szCs w:val="16"/>
        </w:rPr>
        <w:fldChar w:fldCharType="begin"/>
      </w:r>
      <w:r w:rsidRPr="004D2C0C">
        <w:rPr>
          <w:sz w:val="16"/>
          <w:szCs w:val="16"/>
        </w:rPr>
        <w:instrText xml:space="preserve"> SEQ Table \* ARABIC </w:instrText>
      </w:r>
      <w:r w:rsidR="0092253D" w:rsidRPr="004D2C0C">
        <w:rPr>
          <w:sz w:val="16"/>
          <w:szCs w:val="16"/>
        </w:rPr>
        <w:fldChar w:fldCharType="separate"/>
      </w:r>
      <w:r w:rsidR="00D15EF8">
        <w:rPr>
          <w:noProof/>
          <w:sz w:val="16"/>
          <w:szCs w:val="16"/>
        </w:rPr>
        <w:t>6</w:t>
      </w:r>
      <w:r w:rsidR="0092253D" w:rsidRPr="004D2C0C">
        <w:rPr>
          <w:sz w:val="16"/>
          <w:szCs w:val="16"/>
        </w:rPr>
        <w:fldChar w:fldCharType="end"/>
      </w:r>
      <w:r w:rsidRPr="004D2C0C">
        <w:rPr>
          <w:sz w:val="16"/>
          <w:szCs w:val="16"/>
        </w:rPr>
        <w:t>.</w:t>
      </w:r>
      <w:proofErr w:type="gramEnd"/>
      <w:r w:rsidRPr="004D2C0C">
        <w:rPr>
          <w:sz w:val="16"/>
          <w:szCs w:val="16"/>
        </w:rPr>
        <w:t xml:space="preserve"> </w:t>
      </w:r>
      <w:r w:rsidR="00AD254B">
        <w:rPr>
          <w:b w:val="0"/>
          <w:sz w:val="16"/>
          <w:szCs w:val="16"/>
        </w:rPr>
        <w:t xml:space="preserve"> </w:t>
      </w:r>
      <w:r w:rsidR="0030599C">
        <w:rPr>
          <w:b w:val="0"/>
          <w:sz w:val="16"/>
          <w:szCs w:val="16"/>
        </w:rPr>
        <w:t>Distribution of i</w:t>
      </w:r>
      <w:r w:rsidR="00563A69" w:rsidRPr="004D2C0C">
        <w:rPr>
          <w:b w:val="0"/>
          <w:sz w:val="16"/>
          <w:szCs w:val="16"/>
        </w:rPr>
        <w:t xml:space="preserve">ncomes </w:t>
      </w:r>
      <w:r w:rsidR="0098525C" w:rsidRPr="004D2C0C">
        <w:rPr>
          <w:b w:val="0"/>
          <w:sz w:val="16"/>
          <w:szCs w:val="16"/>
        </w:rPr>
        <w:t>(in thousands of dollars)</w:t>
      </w:r>
      <w:r w:rsidR="008F2540" w:rsidRPr="004D2C0C">
        <w:rPr>
          <w:b w:val="0"/>
          <w:sz w:val="16"/>
          <w:szCs w:val="16"/>
        </w:rPr>
        <w:t xml:space="preserve"> before and after completing </w:t>
      </w:r>
      <w:r w:rsidRPr="004D2C0C">
        <w:rPr>
          <w:b w:val="0"/>
          <w:sz w:val="16"/>
          <w:szCs w:val="16"/>
        </w:rPr>
        <w:t xml:space="preserve">a </w:t>
      </w:r>
      <w:proofErr w:type="gramStart"/>
      <w:r w:rsidRPr="00064063">
        <w:rPr>
          <w:sz w:val="16"/>
          <w:szCs w:val="16"/>
        </w:rPr>
        <w:t>bachelors</w:t>
      </w:r>
      <w:proofErr w:type="gramEnd"/>
      <w:r w:rsidRPr="00064063">
        <w:rPr>
          <w:sz w:val="16"/>
          <w:szCs w:val="16"/>
        </w:rPr>
        <w:t xml:space="preserve"> degree</w:t>
      </w:r>
      <w:r w:rsidR="008F2540" w:rsidRPr="004D2C0C">
        <w:rPr>
          <w:b w:val="0"/>
          <w:sz w:val="16"/>
          <w:szCs w:val="16"/>
        </w:rPr>
        <w:t xml:space="preserve">, by age, gender, and student loan and benefit </w:t>
      </w:r>
      <w:r w:rsidR="00AD254B" w:rsidRPr="004D2C0C">
        <w:rPr>
          <w:b w:val="0"/>
          <w:sz w:val="16"/>
        </w:rPr>
        <w:t>status</w:t>
      </w:r>
      <w:r w:rsidR="00AD254B">
        <w:rPr>
          <w:b w:val="0"/>
          <w:sz w:val="16"/>
        </w:rPr>
        <w:t xml:space="preserve"> </w:t>
      </w:r>
    </w:p>
    <w:tbl>
      <w:tblPr>
        <w:tblStyle w:val="TableGrid"/>
        <w:tblW w:w="89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839"/>
        <w:gridCol w:w="787"/>
        <w:gridCol w:w="787"/>
        <w:gridCol w:w="656"/>
        <w:gridCol w:w="268"/>
        <w:gridCol w:w="700"/>
        <w:gridCol w:w="308"/>
        <w:gridCol w:w="645"/>
        <w:gridCol w:w="236"/>
        <w:gridCol w:w="620"/>
        <w:gridCol w:w="252"/>
        <w:gridCol w:w="696"/>
        <w:gridCol w:w="266"/>
        <w:gridCol w:w="602"/>
        <w:gridCol w:w="266"/>
      </w:tblGrid>
      <w:tr w:rsidR="0030599C" w:rsidRPr="005B7A42" w:rsidTr="001A24F1">
        <w:tc>
          <w:tcPr>
            <w:tcW w:w="1008" w:type="dxa"/>
            <w:vMerge w:val="restart"/>
            <w:tcBorders>
              <w:top w:val="single" w:sz="4" w:space="0" w:color="auto"/>
            </w:tcBorders>
            <w:shd w:val="clear" w:color="auto" w:fill="DDD9C3" w:themeFill="background2" w:themeFillShade="E6"/>
            <w:vAlign w:val="bottom"/>
          </w:tcPr>
          <w:p w:rsidR="0030599C" w:rsidRPr="005B7A42" w:rsidRDefault="0030599C"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Age</w:t>
            </w:r>
            <w:r>
              <w:rPr>
                <w:rFonts w:ascii="Arial" w:hAnsi="Arial" w:cs="Arial"/>
                <w:sz w:val="16"/>
                <w:szCs w:val="18"/>
              </w:rPr>
              <w:t xml:space="preserve"> in 1999</w:t>
            </w:r>
          </w:p>
        </w:tc>
        <w:tc>
          <w:tcPr>
            <w:tcW w:w="839" w:type="dxa"/>
            <w:vMerge w:val="restart"/>
            <w:tcBorders>
              <w:top w:val="single" w:sz="4" w:space="0" w:color="auto"/>
            </w:tcBorders>
            <w:shd w:val="clear" w:color="auto" w:fill="DDD9C3" w:themeFill="background2" w:themeFillShade="E6"/>
            <w:vAlign w:val="bottom"/>
          </w:tcPr>
          <w:p w:rsidR="0030599C" w:rsidRPr="005B7A42" w:rsidRDefault="0030599C"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Gender</w:t>
            </w:r>
          </w:p>
        </w:tc>
        <w:tc>
          <w:tcPr>
            <w:tcW w:w="787" w:type="dxa"/>
            <w:vMerge w:val="restart"/>
            <w:tcBorders>
              <w:top w:val="single" w:sz="4" w:space="0" w:color="auto"/>
            </w:tcBorders>
            <w:shd w:val="clear" w:color="auto" w:fill="DDD9C3" w:themeFill="background2" w:themeFillShade="E6"/>
            <w:vAlign w:val="bottom"/>
          </w:tcPr>
          <w:p w:rsidR="0030599C" w:rsidRPr="005B7A42" w:rsidRDefault="0030599C"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Was on benefit</w:t>
            </w:r>
            <w:r w:rsidR="006347A7">
              <w:rPr>
                <w:rFonts w:ascii="Arial" w:hAnsi="Arial" w:cs="Arial"/>
                <w:sz w:val="16"/>
                <w:szCs w:val="18"/>
              </w:rPr>
              <w:t xml:space="preserve"> prior to study</w:t>
            </w:r>
          </w:p>
        </w:tc>
        <w:tc>
          <w:tcPr>
            <w:tcW w:w="787" w:type="dxa"/>
            <w:vMerge w:val="restart"/>
            <w:tcBorders>
              <w:top w:val="single" w:sz="4" w:space="0" w:color="auto"/>
            </w:tcBorders>
            <w:shd w:val="clear" w:color="auto" w:fill="DDD9C3" w:themeFill="background2" w:themeFillShade="E6"/>
            <w:vAlign w:val="bottom"/>
          </w:tcPr>
          <w:p w:rsidR="0030599C" w:rsidRPr="005B7A42" w:rsidRDefault="0030599C"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Had student loan</w:t>
            </w:r>
          </w:p>
        </w:tc>
        <w:tc>
          <w:tcPr>
            <w:tcW w:w="2813" w:type="dxa"/>
            <w:gridSpan w:val="6"/>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30599C" w:rsidRPr="005B7A42" w:rsidRDefault="0030599C" w:rsidP="002B0564">
            <w:pPr>
              <w:pStyle w:val="BodyText"/>
              <w:spacing w:before="40" w:after="20" w:line="240" w:lineRule="auto"/>
              <w:jc w:val="center"/>
              <w:rPr>
                <w:rFonts w:ascii="Arial" w:hAnsi="Arial" w:cs="Arial"/>
                <w:sz w:val="16"/>
                <w:szCs w:val="18"/>
              </w:rPr>
            </w:pPr>
            <w:r w:rsidRPr="005B7A42">
              <w:rPr>
                <w:rFonts w:ascii="Arial" w:hAnsi="Arial" w:cs="Arial"/>
                <w:sz w:val="16"/>
                <w:szCs w:val="18"/>
              </w:rPr>
              <w:t xml:space="preserve">Income before </w:t>
            </w:r>
            <w:r>
              <w:rPr>
                <w:rFonts w:ascii="Arial" w:hAnsi="Arial" w:cs="Arial"/>
                <w:sz w:val="16"/>
                <w:szCs w:val="18"/>
              </w:rPr>
              <w:t>starting study for post-completion income distribution</w:t>
            </w:r>
            <w:r>
              <w:rPr>
                <w:rFonts w:ascii="Arial" w:hAnsi="Arial" w:cs="Arial"/>
                <w:sz w:val="16"/>
                <w:szCs w:val="18"/>
              </w:rPr>
              <w:br/>
              <w:t>($ 000)</w:t>
            </w:r>
          </w:p>
        </w:tc>
        <w:tc>
          <w:tcPr>
            <w:tcW w:w="2702" w:type="dxa"/>
            <w:gridSpan w:val="6"/>
            <w:tcBorders>
              <w:top w:val="single" w:sz="4" w:space="0" w:color="auto"/>
              <w:left w:val="single" w:sz="4" w:space="0" w:color="auto"/>
              <w:bottom w:val="single" w:sz="4" w:space="0" w:color="auto"/>
            </w:tcBorders>
            <w:shd w:val="clear" w:color="auto" w:fill="DDD9C3" w:themeFill="background2" w:themeFillShade="E6"/>
            <w:vAlign w:val="bottom"/>
          </w:tcPr>
          <w:p w:rsidR="0030599C" w:rsidRPr="005B7A42" w:rsidRDefault="0030599C" w:rsidP="002B0564">
            <w:pPr>
              <w:pStyle w:val="BodyText"/>
              <w:spacing w:before="40" w:after="20" w:line="240" w:lineRule="auto"/>
              <w:jc w:val="center"/>
              <w:rPr>
                <w:rFonts w:ascii="Arial" w:hAnsi="Arial" w:cs="Arial"/>
                <w:sz w:val="16"/>
                <w:szCs w:val="18"/>
              </w:rPr>
            </w:pPr>
            <w:r>
              <w:rPr>
                <w:rFonts w:ascii="Arial" w:hAnsi="Arial" w:cs="Arial"/>
                <w:sz w:val="16"/>
                <w:szCs w:val="18"/>
              </w:rPr>
              <w:t>Expected income after</w:t>
            </w:r>
            <w:r w:rsidRPr="005B7A42">
              <w:rPr>
                <w:rFonts w:ascii="Arial" w:hAnsi="Arial" w:cs="Arial"/>
                <w:sz w:val="16"/>
                <w:szCs w:val="18"/>
              </w:rPr>
              <w:t xml:space="preserve"> completing</w:t>
            </w:r>
            <w:r>
              <w:rPr>
                <w:rFonts w:ascii="Arial" w:hAnsi="Arial" w:cs="Arial"/>
                <w:sz w:val="16"/>
                <w:szCs w:val="18"/>
              </w:rPr>
              <w:br/>
              <w:t>($ 000)</w:t>
            </w:r>
          </w:p>
        </w:tc>
      </w:tr>
      <w:tr w:rsidR="00563A69" w:rsidRPr="005B7A42" w:rsidTr="001A24F1">
        <w:tc>
          <w:tcPr>
            <w:tcW w:w="1008" w:type="dxa"/>
            <w:vMerge/>
            <w:tcBorders>
              <w:bottom w:val="single" w:sz="4" w:space="0" w:color="auto"/>
            </w:tcBorders>
            <w:shd w:val="clear" w:color="auto" w:fill="DDD9C3" w:themeFill="background2" w:themeFillShade="E6"/>
            <w:vAlign w:val="bottom"/>
          </w:tcPr>
          <w:p w:rsidR="00563A69" w:rsidRPr="005B7A42" w:rsidRDefault="00563A69" w:rsidP="00A10D80">
            <w:pPr>
              <w:pStyle w:val="BodyText"/>
              <w:spacing w:before="40" w:after="20" w:line="240" w:lineRule="auto"/>
              <w:jc w:val="center"/>
              <w:rPr>
                <w:rFonts w:ascii="Arial" w:hAnsi="Arial" w:cs="Arial"/>
                <w:sz w:val="16"/>
                <w:szCs w:val="18"/>
              </w:rPr>
            </w:pPr>
          </w:p>
        </w:tc>
        <w:tc>
          <w:tcPr>
            <w:tcW w:w="839" w:type="dxa"/>
            <w:vMerge/>
            <w:tcBorders>
              <w:bottom w:val="single" w:sz="4" w:space="0" w:color="auto"/>
            </w:tcBorders>
            <w:shd w:val="clear" w:color="auto" w:fill="DDD9C3" w:themeFill="background2" w:themeFillShade="E6"/>
            <w:vAlign w:val="bottom"/>
          </w:tcPr>
          <w:p w:rsidR="00563A69" w:rsidRPr="005B7A42" w:rsidRDefault="00563A69" w:rsidP="00A10D80">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AF3803">
            <w:pPr>
              <w:pStyle w:val="BodyText"/>
              <w:spacing w:before="40" w:after="20" w:line="240" w:lineRule="auto"/>
              <w:jc w:val="center"/>
              <w:rPr>
                <w:rFonts w:ascii="Arial" w:hAnsi="Arial" w:cs="Arial"/>
                <w:sz w:val="16"/>
                <w:szCs w:val="18"/>
              </w:rPr>
            </w:pPr>
          </w:p>
        </w:tc>
        <w:tc>
          <w:tcPr>
            <w:tcW w:w="787" w:type="dxa"/>
            <w:vMerge/>
            <w:tcBorders>
              <w:bottom w:val="single" w:sz="4" w:space="0" w:color="auto"/>
            </w:tcBorders>
            <w:shd w:val="clear" w:color="auto" w:fill="DDD9C3" w:themeFill="background2" w:themeFillShade="E6"/>
            <w:vAlign w:val="bottom"/>
          </w:tcPr>
          <w:p w:rsidR="00563A69" w:rsidRPr="005B7A42" w:rsidRDefault="00563A69" w:rsidP="00A10D80">
            <w:pPr>
              <w:pStyle w:val="BodyText"/>
              <w:spacing w:before="40" w:after="20" w:line="240" w:lineRule="auto"/>
              <w:jc w:val="center"/>
              <w:rPr>
                <w:rFonts w:ascii="Arial" w:hAnsi="Arial" w:cs="Arial"/>
                <w:sz w:val="16"/>
                <w:szCs w:val="18"/>
              </w:rPr>
            </w:pPr>
          </w:p>
        </w:tc>
        <w:tc>
          <w:tcPr>
            <w:tcW w:w="656"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6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c>
          <w:tcPr>
            <w:tcW w:w="700"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308"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c>
          <w:tcPr>
            <w:tcW w:w="645"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36" w:type="dxa"/>
            <w:tcBorders>
              <w:top w:val="single" w:sz="4" w:space="0" w:color="auto"/>
              <w:bottom w:val="single" w:sz="4" w:space="0" w:color="auto"/>
              <w:right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c>
          <w:tcPr>
            <w:tcW w:w="620" w:type="dxa"/>
            <w:tcBorders>
              <w:top w:val="single" w:sz="4" w:space="0" w:color="auto"/>
              <w:left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right"/>
              <w:rPr>
                <w:rFonts w:ascii="Arial" w:hAnsi="Arial" w:cs="Arial"/>
                <w:sz w:val="16"/>
                <w:szCs w:val="18"/>
              </w:rPr>
            </w:pPr>
            <w:r>
              <w:rPr>
                <w:rFonts w:ascii="Arial" w:hAnsi="Arial" w:cs="Arial"/>
                <w:sz w:val="16"/>
                <w:szCs w:val="18"/>
              </w:rPr>
              <w:t>25</w:t>
            </w:r>
            <w:r w:rsidRPr="00563A69">
              <w:rPr>
                <w:rFonts w:ascii="Arial" w:hAnsi="Arial" w:cs="Arial"/>
                <w:sz w:val="16"/>
                <w:szCs w:val="18"/>
                <w:vertAlign w:val="superscript"/>
              </w:rPr>
              <w:t>th</w:t>
            </w:r>
          </w:p>
        </w:tc>
        <w:tc>
          <w:tcPr>
            <w:tcW w:w="25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c>
          <w:tcPr>
            <w:tcW w:w="69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ind w:left="-80" w:right="-94"/>
              <w:jc w:val="center"/>
              <w:rPr>
                <w:rFonts w:ascii="Arial" w:hAnsi="Arial" w:cs="Arial"/>
                <w:sz w:val="16"/>
                <w:szCs w:val="18"/>
              </w:rPr>
            </w:pPr>
            <w:r w:rsidRPr="00ED0A9D">
              <w:rPr>
                <w:rFonts w:ascii="Arial" w:hAnsi="Arial" w:cs="Arial"/>
                <w:sz w:val="16"/>
                <w:szCs w:val="18"/>
              </w:rPr>
              <w:t>Median</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c>
          <w:tcPr>
            <w:tcW w:w="602"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right"/>
              <w:rPr>
                <w:rFonts w:ascii="Arial" w:hAnsi="Arial" w:cs="Arial"/>
                <w:sz w:val="16"/>
                <w:szCs w:val="18"/>
              </w:rPr>
            </w:pPr>
            <w:r>
              <w:rPr>
                <w:rFonts w:ascii="Arial" w:hAnsi="Arial" w:cs="Arial"/>
                <w:sz w:val="16"/>
                <w:szCs w:val="18"/>
              </w:rPr>
              <w:t>75</w:t>
            </w:r>
            <w:r w:rsidRPr="00563A69">
              <w:rPr>
                <w:rFonts w:ascii="Arial" w:hAnsi="Arial" w:cs="Arial"/>
                <w:sz w:val="16"/>
                <w:szCs w:val="18"/>
                <w:vertAlign w:val="superscript"/>
              </w:rPr>
              <w:t>th</w:t>
            </w:r>
          </w:p>
        </w:tc>
        <w:tc>
          <w:tcPr>
            <w:tcW w:w="266" w:type="dxa"/>
            <w:tcBorders>
              <w:top w:val="single" w:sz="4" w:space="0" w:color="auto"/>
              <w:bottom w:val="single" w:sz="4" w:space="0" w:color="auto"/>
            </w:tcBorders>
            <w:shd w:val="clear" w:color="auto" w:fill="DDD9C3" w:themeFill="background2" w:themeFillShade="E6"/>
            <w:vAlign w:val="bottom"/>
          </w:tcPr>
          <w:p w:rsidR="00563A69" w:rsidRPr="005B7A42" w:rsidRDefault="00563A69" w:rsidP="00563A69">
            <w:pPr>
              <w:pStyle w:val="BodyText"/>
              <w:spacing w:before="40" w:after="20" w:line="240" w:lineRule="auto"/>
              <w:jc w:val="center"/>
              <w:rPr>
                <w:rFonts w:ascii="Arial" w:hAnsi="Arial" w:cs="Arial"/>
                <w:sz w:val="16"/>
                <w:szCs w:val="18"/>
              </w:rPr>
            </w:pPr>
          </w:p>
        </w:tc>
      </w:tr>
      <w:tr w:rsidR="00AF3803" w:rsidRPr="005B7A42" w:rsidTr="001A24F1">
        <w:tc>
          <w:tcPr>
            <w:tcW w:w="1008"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20</w:t>
            </w:r>
          </w:p>
        </w:tc>
        <w:tc>
          <w:tcPr>
            <w:tcW w:w="839"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0.00</w:t>
            </w:r>
          </w:p>
        </w:tc>
        <w:tc>
          <w:tcPr>
            <w:tcW w:w="268" w:type="dxa"/>
            <w:tcBorders>
              <w:top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0.00</w:t>
            </w:r>
          </w:p>
        </w:tc>
        <w:tc>
          <w:tcPr>
            <w:tcW w:w="308" w:type="dxa"/>
            <w:tcBorders>
              <w:top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11.43</w:t>
            </w:r>
          </w:p>
        </w:tc>
        <w:tc>
          <w:tcPr>
            <w:tcW w:w="236" w:type="dxa"/>
            <w:tcBorders>
              <w:top w:val="single" w:sz="4" w:space="0" w:color="auto"/>
              <w:right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0.00</w:t>
            </w:r>
          </w:p>
        </w:tc>
        <w:tc>
          <w:tcPr>
            <w:tcW w:w="252" w:type="dxa"/>
            <w:tcBorders>
              <w:top w:val="single" w:sz="4" w:space="0" w:color="auto"/>
            </w:tcBorders>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4.75</w:t>
            </w:r>
          </w:p>
        </w:tc>
        <w:tc>
          <w:tcPr>
            <w:tcW w:w="266" w:type="dxa"/>
            <w:tcBorders>
              <w:top w:val="single" w:sz="4" w:space="0" w:color="auto"/>
            </w:tcBorders>
            <w:vAlign w:val="center"/>
          </w:tcPr>
          <w:p w:rsidR="00AF3803" w:rsidRPr="009F654D" w:rsidRDefault="00D63334"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single" w:sz="4" w:space="0" w:color="auto"/>
            </w:tcBorders>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41.27</w:t>
            </w:r>
          </w:p>
        </w:tc>
        <w:tc>
          <w:tcPr>
            <w:tcW w:w="266" w:type="dxa"/>
            <w:tcBorders>
              <w:top w:val="single" w:sz="4" w:space="0" w:color="auto"/>
            </w:tcBorders>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2501E">
            <w:pPr>
              <w:pStyle w:val="BodyText"/>
              <w:spacing w:before="40" w:after="20" w:line="240" w:lineRule="auto"/>
              <w:jc w:val="center"/>
              <w:rPr>
                <w:rFonts w:ascii="Arial" w:hAnsi="Arial" w:cs="Arial"/>
                <w:sz w:val="16"/>
                <w:szCs w:val="18"/>
              </w:rPr>
            </w:pPr>
            <w:r>
              <w:rPr>
                <w:rFonts w:ascii="Arial" w:hAnsi="Arial" w:cs="Arial"/>
                <w:sz w:val="16"/>
                <w:szCs w:val="18"/>
              </w:rPr>
              <w:t>(n=2,067)</w:t>
            </w: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8.86</w:t>
            </w:r>
          </w:p>
        </w:tc>
        <w:tc>
          <w:tcPr>
            <w:tcW w:w="268" w:type="dxa"/>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19.27</w:t>
            </w:r>
          </w:p>
        </w:tc>
        <w:tc>
          <w:tcPr>
            <w:tcW w:w="308" w:type="dxa"/>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28.92</w:t>
            </w:r>
          </w:p>
        </w:tc>
        <w:tc>
          <w:tcPr>
            <w:tcW w:w="236" w:type="dxa"/>
            <w:tcBorders>
              <w:right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30.03</w:t>
            </w:r>
          </w:p>
        </w:tc>
        <w:tc>
          <w:tcPr>
            <w:tcW w:w="252"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41.27</w:t>
            </w:r>
          </w:p>
        </w:tc>
        <w:tc>
          <w:tcPr>
            <w:tcW w:w="266"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49.05</w:t>
            </w:r>
          </w:p>
        </w:tc>
        <w:tc>
          <w:tcPr>
            <w:tcW w:w="266"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9.20</w:t>
            </w:r>
          </w:p>
        </w:tc>
        <w:tc>
          <w:tcPr>
            <w:tcW w:w="268" w:type="dxa"/>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9.49</w:t>
            </w:r>
          </w:p>
        </w:tc>
        <w:tc>
          <w:tcPr>
            <w:tcW w:w="308" w:type="dxa"/>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14.83</w:t>
            </w:r>
          </w:p>
        </w:tc>
        <w:tc>
          <w:tcPr>
            <w:tcW w:w="236" w:type="dxa"/>
            <w:tcBorders>
              <w:right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32.07</w:t>
            </w:r>
          </w:p>
        </w:tc>
        <w:tc>
          <w:tcPr>
            <w:tcW w:w="252"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42.29</w:t>
            </w:r>
          </w:p>
        </w:tc>
        <w:tc>
          <w:tcPr>
            <w:tcW w:w="266"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48.21</w:t>
            </w:r>
          </w:p>
        </w:tc>
        <w:tc>
          <w:tcPr>
            <w:tcW w:w="266"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8.08</w:t>
            </w:r>
          </w:p>
        </w:tc>
        <w:tc>
          <w:tcPr>
            <w:tcW w:w="268" w:type="dxa"/>
            <w:tcBorders>
              <w:bottom w:val="dotted"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10.27</w:t>
            </w:r>
          </w:p>
        </w:tc>
        <w:tc>
          <w:tcPr>
            <w:tcW w:w="308" w:type="dxa"/>
            <w:tcBorders>
              <w:bottom w:val="dotted"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14.72</w:t>
            </w:r>
          </w:p>
        </w:tc>
        <w:tc>
          <w:tcPr>
            <w:tcW w:w="236" w:type="dxa"/>
            <w:tcBorders>
              <w:bottom w:val="dotted" w:sz="4" w:space="0" w:color="auto"/>
              <w:right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19.01</w:t>
            </w:r>
          </w:p>
        </w:tc>
        <w:tc>
          <w:tcPr>
            <w:tcW w:w="252" w:type="dxa"/>
            <w:tcBorders>
              <w:bottom w:val="dotted"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34.14</w:t>
            </w:r>
          </w:p>
        </w:tc>
        <w:tc>
          <w:tcPr>
            <w:tcW w:w="266" w:type="dxa"/>
            <w:tcBorders>
              <w:bottom w:val="dotted"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43.09</w:t>
            </w:r>
          </w:p>
        </w:tc>
        <w:tc>
          <w:tcPr>
            <w:tcW w:w="266" w:type="dxa"/>
            <w:tcBorders>
              <w:bottom w:val="dotted"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0.00</w:t>
            </w:r>
          </w:p>
        </w:tc>
        <w:tc>
          <w:tcPr>
            <w:tcW w:w="268" w:type="dxa"/>
            <w:tcBorders>
              <w:top w:val="dotted"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2.66</w:t>
            </w:r>
          </w:p>
        </w:tc>
        <w:tc>
          <w:tcPr>
            <w:tcW w:w="308" w:type="dxa"/>
            <w:tcBorders>
              <w:top w:val="dotted"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21.90</w:t>
            </w:r>
          </w:p>
        </w:tc>
        <w:tc>
          <w:tcPr>
            <w:tcW w:w="236" w:type="dxa"/>
            <w:tcBorders>
              <w:top w:val="dotted" w:sz="4" w:space="0" w:color="auto"/>
              <w:right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0.00</w:t>
            </w:r>
          </w:p>
        </w:tc>
        <w:tc>
          <w:tcPr>
            <w:tcW w:w="252" w:type="dxa"/>
            <w:tcBorders>
              <w:top w:val="dotted" w:sz="4" w:space="0" w:color="auto"/>
            </w:tcBorders>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dotted" w:sz="4" w:space="0" w:color="auto"/>
            </w:tcBorders>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18.96</w:t>
            </w:r>
          </w:p>
        </w:tc>
        <w:tc>
          <w:tcPr>
            <w:tcW w:w="266" w:type="dxa"/>
            <w:tcBorders>
              <w:top w:val="dotted" w:sz="4" w:space="0" w:color="auto"/>
            </w:tcBorders>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41.25</w:t>
            </w:r>
          </w:p>
        </w:tc>
        <w:tc>
          <w:tcPr>
            <w:tcW w:w="266" w:type="dxa"/>
            <w:tcBorders>
              <w:top w:val="dotted" w:sz="4" w:space="0" w:color="auto"/>
            </w:tcBorders>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8.05</w:t>
            </w:r>
          </w:p>
        </w:tc>
        <w:tc>
          <w:tcPr>
            <w:tcW w:w="268" w:type="dxa"/>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19.10</w:t>
            </w:r>
          </w:p>
        </w:tc>
        <w:tc>
          <w:tcPr>
            <w:tcW w:w="308" w:type="dxa"/>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27.96</w:t>
            </w:r>
          </w:p>
        </w:tc>
        <w:tc>
          <w:tcPr>
            <w:tcW w:w="236" w:type="dxa"/>
            <w:tcBorders>
              <w:right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25.27</w:t>
            </w:r>
          </w:p>
        </w:tc>
        <w:tc>
          <w:tcPr>
            <w:tcW w:w="252"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39.63</w:t>
            </w:r>
          </w:p>
        </w:tc>
        <w:tc>
          <w:tcPr>
            <w:tcW w:w="266"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9110A2" w:rsidRDefault="00CD4A62"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45.56</w:t>
            </w:r>
          </w:p>
        </w:tc>
        <w:tc>
          <w:tcPr>
            <w:tcW w:w="266" w:type="dxa"/>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8.72</w:t>
            </w:r>
          </w:p>
        </w:tc>
        <w:tc>
          <w:tcPr>
            <w:tcW w:w="268" w:type="dxa"/>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16.69</w:t>
            </w:r>
          </w:p>
        </w:tc>
        <w:tc>
          <w:tcPr>
            <w:tcW w:w="308" w:type="dxa"/>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19.70</w:t>
            </w:r>
          </w:p>
        </w:tc>
        <w:tc>
          <w:tcPr>
            <w:tcW w:w="236" w:type="dxa"/>
            <w:tcBorders>
              <w:right w:val="single" w:sz="4" w:space="0" w:color="auto"/>
            </w:tcBorders>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24.54</w:t>
            </w:r>
          </w:p>
        </w:tc>
        <w:tc>
          <w:tcPr>
            <w:tcW w:w="252"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32.25</w:t>
            </w:r>
          </w:p>
        </w:tc>
        <w:tc>
          <w:tcPr>
            <w:tcW w:w="266"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43.08</w:t>
            </w:r>
          </w:p>
        </w:tc>
        <w:tc>
          <w:tcPr>
            <w:tcW w:w="266" w:type="dxa"/>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Borders>
              <w:bottom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9.88</w:t>
            </w:r>
          </w:p>
        </w:tc>
        <w:tc>
          <w:tcPr>
            <w:tcW w:w="268" w:type="dxa"/>
            <w:tcBorders>
              <w:bottom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14.53</w:t>
            </w:r>
          </w:p>
        </w:tc>
        <w:tc>
          <w:tcPr>
            <w:tcW w:w="308" w:type="dxa"/>
            <w:tcBorders>
              <w:bottom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9110A2" w:rsidRDefault="00AF3803" w:rsidP="009110A2">
            <w:pPr>
              <w:pStyle w:val="BodyText"/>
              <w:spacing w:before="40" w:after="20" w:line="240" w:lineRule="auto"/>
              <w:ind w:right="-50"/>
              <w:jc w:val="right"/>
              <w:rPr>
                <w:rFonts w:ascii="Arial" w:hAnsi="Arial" w:cs="Arial"/>
                <w:sz w:val="16"/>
                <w:szCs w:val="18"/>
              </w:rPr>
            </w:pPr>
            <w:r w:rsidRPr="009110A2">
              <w:rPr>
                <w:rFonts w:ascii="Arial" w:hAnsi="Arial" w:cs="Arial"/>
                <w:sz w:val="16"/>
                <w:szCs w:val="18"/>
              </w:rPr>
              <w:t>18.04</w:t>
            </w:r>
          </w:p>
        </w:tc>
        <w:tc>
          <w:tcPr>
            <w:tcW w:w="236" w:type="dxa"/>
            <w:tcBorders>
              <w:bottom w:val="single" w:sz="4" w:space="0" w:color="auto"/>
              <w:right w:val="single" w:sz="4" w:space="0" w:color="auto"/>
            </w:tcBorders>
            <w:shd w:val="clear" w:color="auto" w:fill="DDD9C3" w:themeFill="background2" w:themeFillShade="E6"/>
            <w:vAlign w:val="center"/>
          </w:tcPr>
          <w:p w:rsidR="00AF3803" w:rsidRPr="009F654D" w:rsidRDefault="00AF3803" w:rsidP="009110A2">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20.92</w:t>
            </w:r>
          </w:p>
        </w:tc>
        <w:tc>
          <w:tcPr>
            <w:tcW w:w="252" w:type="dxa"/>
            <w:tcBorders>
              <w:bottom w:val="single"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single" w:sz="4" w:space="0" w:color="auto"/>
            </w:tcBorders>
            <w:shd w:val="clear" w:color="auto" w:fill="DDD9C3" w:themeFill="background2" w:themeFillShade="E6"/>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35.29</w:t>
            </w:r>
          </w:p>
        </w:tc>
        <w:tc>
          <w:tcPr>
            <w:tcW w:w="266" w:type="dxa"/>
            <w:tcBorders>
              <w:bottom w:val="single"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9110A2" w:rsidRDefault="00EA3EED" w:rsidP="009110A2">
            <w:pPr>
              <w:pStyle w:val="BodyText"/>
              <w:spacing w:before="40" w:after="20" w:line="240" w:lineRule="auto"/>
              <w:ind w:right="-50"/>
              <w:jc w:val="right"/>
              <w:rPr>
                <w:rFonts w:ascii="Arial" w:hAnsi="Arial" w:cs="Arial"/>
                <w:sz w:val="16"/>
                <w:szCs w:val="18"/>
              </w:rPr>
            </w:pPr>
            <w:r>
              <w:rPr>
                <w:rFonts w:ascii="Arial" w:hAnsi="Arial" w:cs="Arial"/>
                <w:sz w:val="16"/>
                <w:szCs w:val="18"/>
              </w:rPr>
              <w:t>43.49</w:t>
            </w:r>
          </w:p>
        </w:tc>
        <w:tc>
          <w:tcPr>
            <w:tcW w:w="266" w:type="dxa"/>
            <w:tcBorders>
              <w:bottom w:val="single" w:sz="4" w:space="0" w:color="auto"/>
            </w:tcBorders>
            <w:shd w:val="clear" w:color="auto" w:fill="DDD9C3" w:themeFill="background2" w:themeFillShade="E6"/>
            <w:vAlign w:val="center"/>
          </w:tcPr>
          <w:p w:rsidR="00AF3803" w:rsidRPr="009F654D"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30</w:t>
            </w:r>
          </w:p>
        </w:tc>
        <w:tc>
          <w:tcPr>
            <w:tcW w:w="839"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12.93</w:t>
            </w:r>
          </w:p>
        </w:tc>
        <w:tc>
          <w:tcPr>
            <w:tcW w:w="268" w:type="dxa"/>
            <w:tcBorders>
              <w:top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45.72</w:t>
            </w:r>
          </w:p>
        </w:tc>
        <w:tc>
          <w:tcPr>
            <w:tcW w:w="308" w:type="dxa"/>
            <w:tcBorders>
              <w:top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54.91</w:t>
            </w:r>
          </w:p>
        </w:tc>
        <w:tc>
          <w:tcPr>
            <w:tcW w:w="236" w:type="dxa"/>
            <w:tcBorders>
              <w:top w:val="single" w:sz="4" w:space="0" w:color="auto"/>
              <w:right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33.46</w:t>
            </w:r>
          </w:p>
        </w:tc>
        <w:tc>
          <w:tcPr>
            <w:tcW w:w="252" w:type="dxa"/>
            <w:tcBorders>
              <w:top w:val="single" w:sz="4" w:space="0" w:color="auto"/>
            </w:tcBorders>
            <w:vAlign w:val="bottom"/>
          </w:tcPr>
          <w:p w:rsidR="00AF3803" w:rsidRPr="005B7A42" w:rsidRDefault="00D63334"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50.76</w:t>
            </w:r>
          </w:p>
        </w:tc>
        <w:tc>
          <w:tcPr>
            <w:tcW w:w="266" w:type="dxa"/>
            <w:tcBorders>
              <w:top w:val="single" w:sz="4" w:space="0" w:color="auto"/>
            </w:tcBorders>
            <w:vAlign w:val="bottom"/>
          </w:tcPr>
          <w:p w:rsidR="00AF3803" w:rsidRPr="005B7A42" w:rsidRDefault="00D63334"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Borders>
              <w:top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65.33</w:t>
            </w:r>
          </w:p>
        </w:tc>
        <w:tc>
          <w:tcPr>
            <w:tcW w:w="266" w:type="dxa"/>
            <w:tcBorders>
              <w:top w:val="single" w:sz="4" w:space="0" w:color="auto"/>
            </w:tcBorders>
            <w:vAlign w:val="bottom"/>
          </w:tcPr>
          <w:p w:rsidR="00AF3803" w:rsidRPr="005B7A42" w:rsidRDefault="00AF3803" w:rsidP="009A523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r>
              <w:rPr>
                <w:rFonts w:ascii="Arial" w:hAnsi="Arial" w:cs="Arial"/>
                <w:sz w:val="16"/>
                <w:szCs w:val="18"/>
              </w:rPr>
              <w:t>(n=1,104)</w:t>
            </w: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19.47</w:t>
            </w:r>
          </w:p>
        </w:tc>
        <w:tc>
          <w:tcPr>
            <w:tcW w:w="26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33.03</w:t>
            </w:r>
          </w:p>
        </w:tc>
        <w:tc>
          <w:tcPr>
            <w:tcW w:w="30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45.64</w:t>
            </w:r>
          </w:p>
        </w:tc>
        <w:tc>
          <w:tcPr>
            <w:tcW w:w="236" w:type="dxa"/>
            <w:tcBorders>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33.65</w:t>
            </w:r>
          </w:p>
        </w:tc>
        <w:tc>
          <w:tcPr>
            <w:tcW w:w="252"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43.87</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54.58</w:t>
            </w:r>
          </w:p>
        </w:tc>
        <w:tc>
          <w:tcPr>
            <w:tcW w:w="266" w:type="dxa"/>
            <w:shd w:val="clear" w:color="auto" w:fill="DDD9C3" w:themeFill="background2" w:themeFillShade="E6"/>
          </w:tcPr>
          <w:p w:rsidR="00AF3803" w:rsidRPr="005B7A42" w:rsidRDefault="00AF3803" w:rsidP="009A523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13.82</w:t>
            </w:r>
          </w:p>
        </w:tc>
        <w:tc>
          <w:tcPr>
            <w:tcW w:w="26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15.69</w:t>
            </w:r>
          </w:p>
        </w:tc>
        <w:tc>
          <w:tcPr>
            <w:tcW w:w="30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23.36</w:t>
            </w:r>
          </w:p>
        </w:tc>
        <w:tc>
          <w:tcPr>
            <w:tcW w:w="236" w:type="dxa"/>
            <w:tcBorders>
              <w:right w:val="single"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11.43</w:t>
            </w:r>
          </w:p>
        </w:tc>
        <w:tc>
          <w:tcPr>
            <w:tcW w:w="252"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11.66</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16.71</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11.64</w:t>
            </w:r>
          </w:p>
        </w:tc>
        <w:tc>
          <w:tcPr>
            <w:tcW w:w="268" w:type="dxa"/>
            <w:tcBorders>
              <w:bottom w:val="dotted"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17.13</w:t>
            </w:r>
          </w:p>
        </w:tc>
        <w:tc>
          <w:tcPr>
            <w:tcW w:w="308" w:type="dxa"/>
            <w:tcBorders>
              <w:bottom w:val="dotted"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21.02</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20.51</w:t>
            </w:r>
          </w:p>
        </w:tc>
        <w:tc>
          <w:tcPr>
            <w:tcW w:w="252"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dotted"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38.20</w:t>
            </w:r>
          </w:p>
        </w:tc>
        <w:tc>
          <w:tcPr>
            <w:tcW w:w="266"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47.22</w:t>
            </w:r>
          </w:p>
        </w:tc>
        <w:tc>
          <w:tcPr>
            <w:tcW w:w="266"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top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18.06</w:t>
            </w:r>
          </w:p>
        </w:tc>
        <w:tc>
          <w:tcPr>
            <w:tcW w:w="268" w:type="dxa"/>
            <w:tcBorders>
              <w:top w:val="dotted"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34.56</w:t>
            </w:r>
          </w:p>
        </w:tc>
        <w:tc>
          <w:tcPr>
            <w:tcW w:w="308" w:type="dxa"/>
            <w:tcBorders>
              <w:top w:val="dotted"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49.48</w:t>
            </w:r>
          </w:p>
        </w:tc>
        <w:tc>
          <w:tcPr>
            <w:tcW w:w="236" w:type="dxa"/>
            <w:tcBorders>
              <w:top w:val="dotted" w:sz="4" w:space="0" w:color="auto"/>
              <w:right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23.59</w:t>
            </w:r>
          </w:p>
        </w:tc>
        <w:tc>
          <w:tcPr>
            <w:tcW w:w="252" w:type="dxa"/>
            <w:tcBorders>
              <w:top w:val="dotted" w:sz="4" w:space="0" w:color="auto"/>
            </w:tcBorders>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dotted"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43.49</w:t>
            </w:r>
          </w:p>
        </w:tc>
        <w:tc>
          <w:tcPr>
            <w:tcW w:w="266" w:type="dxa"/>
            <w:tcBorders>
              <w:top w:val="dotted"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58.97</w:t>
            </w:r>
          </w:p>
        </w:tc>
        <w:tc>
          <w:tcPr>
            <w:tcW w:w="266" w:type="dxa"/>
            <w:tcBorders>
              <w:top w:val="dotted"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3.40</w:t>
            </w:r>
          </w:p>
        </w:tc>
        <w:tc>
          <w:tcPr>
            <w:tcW w:w="26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15.61</w:t>
            </w:r>
          </w:p>
        </w:tc>
        <w:tc>
          <w:tcPr>
            <w:tcW w:w="30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30.68</w:t>
            </w:r>
          </w:p>
        </w:tc>
        <w:tc>
          <w:tcPr>
            <w:tcW w:w="236" w:type="dxa"/>
            <w:tcBorders>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29.30</w:t>
            </w:r>
          </w:p>
        </w:tc>
        <w:tc>
          <w:tcPr>
            <w:tcW w:w="252"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42.65</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48.33</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16.45</w:t>
            </w:r>
          </w:p>
        </w:tc>
        <w:tc>
          <w:tcPr>
            <w:tcW w:w="26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17.87</w:t>
            </w:r>
          </w:p>
        </w:tc>
        <w:tc>
          <w:tcPr>
            <w:tcW w:w="30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19.33</w:t>
            </w:r>
          </w:p>
        </w:tc>
        <w:tc>
          <w:tcPr>
            <w:tcW w:w="236" w:type="dxa"/>
            <w:tcBorders>
              <w:right w:val="single"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14.06</w:t>
            </w:r>
          </w:p>
        </w:tc>
        <w:tc>
          <w:tcPr>
            <w:tcW w:w="252"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39.39</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44.64</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Borders>
              <w:bottom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16.31</w:t>
            </w:r>
          </w:p>
        </w:tc>
        <w:tc>
          <w:tcPr>
            <w:tcW w:w="268" w:type="dxa"/>
            <w:tcBorders>
              <w:bottom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18.28</w:t>
            </w:r>
          </w:p>
        </w:tc>
        <w:tc>
          <w:tcPr>
            <w:tcW w:w="308" w:type="dxa"/>
            <w:tcBorders>
              <w:bottom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23.23</w:t>
            </w:r>
          </w:p>
        </w:tc>
        <w:tc>
          <w:tcPr>
            <w:tcW w:w="236" w:type="dxa"/>
            <w:tcBorders>
              <w:bottom w:val="single" w:sz="4" w:space="0" w:color="auto"/>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24.44</w:t>
            </w:r>
          </w:p>
        </w:tc>
        <w:tc>
          <w:tcPr>
            <w:tcW w:w="252"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single"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39.90</w:t>
            </w:r>
          </w:p>
        </w:tc>
        <w:tc>
          <w:tcPr>
            <w:tcW w:w="266"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AB0EAA" w:rsidRDefault="00EA3EED"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45.61</w:t>
            </w:r>
          </w:p>
        </w:tc>
        <w:tc>
          <w:tcPr>
            <w:tcW w:w="266"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Borders>
              <w:top w:val="single"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r>
              <w:rPr>
                <w:rFonts w:ascii="Arial" w:hAnsi="Arial" w:cs="Arial"/>
                <w:sz w:val="16"/>
                <w:szCs w:val="18"/>
              </w:rPr>
              <w:t>40</w:t>
            </w:r>
          </w:p>
        </w:tc>
        <w:tc>
          <w:tcPr>
            <w:tcW w:w="839" w:type="dxa"/>
            <w:tcBorders>
              <w:top w:val="single"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Male</w:t>
            </w:r>
          </w:p>
        </w:tc>
        <w:tc>
          <w:tcPr>
            <w:tcW w:w="787" w:type="dxa"/>
            <w:tcBorders>
              <w:top w:val="single"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single"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single" w:sz="4" w:space="0" w:color="auto"/>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36.34</w:t>
            </w:r>
          </w:p>
        </w:tc>
        <w:tc>
          <w:tcPr>
            <w:tcW w:w="268" w:type="dxa"/>
            <w:tcBorders>
              <w:top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top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52.19</w:t>
            </w:r>
          </w:p>
        </w:tc>
        <w:tc>
          <w:tcPr>
            <w:tcW w:w="308" w:type="dxa"/>
            <w:tcBorders>
              <w:top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top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67.90</w:t>
            </w:r>
          </w:p>
        </w:tc>
        <w:tc>
          <w:tcPr>
            <w:tcW w:w="236" w:type="dxa"/>
            <w:tcBorders>
              <w:top w:val="single" w:sz="4" w:space="0" w:color="auto"/>
              <w:right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top w:val="single" w:sz="4" w:space="0" w:color="auto"/>
              <w:left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45.31</w:t>
            </w:r>
          </w:p>
        </w:tc>
        <w:tc>
          <w:tcPr>
            <w:tcW w:w="252" w:type="dxa"/>
            <w:tcBorders>
              <w:top w:val="single"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top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62.96</w:t>
            </w:r>
          </w:p>
        </w:tc>
        <w:tc>
          <w:tcPr>
            <w:tcW w:w="266" w:type="dxa"/>
            <w:tcBorders>
              <w:top w:val="single"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69.92</w:t>
            </w:r>
          </w:p>
        </w:tc>
        <w:tc>
          <w:tcPr>
            <w:tcW w:w="266" w:type="dxa"/>
            <w:tcBorders>
              <w:top w:val="single"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r>
              <w:rPr>
                <w:rFonts w:ascii="Arial" w:hAnsi="Arial" w:cs="Arial"/>
                <w:sz w:val="16"/>
                <w:szCs w:val="18"/>
              </w:rPr>
              <w:t>(n=933)</w:t>
            </w: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12.13</w:t>
            </w:r>
          </w:p>
        </w:tc>
        <w:tc>
          <w:tcPr>
            <w:tcW w:w="26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33.27</w:t>
            </w:r>
          </w:p>
        </w:tc>
        <w:tc>
          <w:tcPr>
            <w:tcW w:w="30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54.92</w:t>
            </w:r>
          </w:p>
        </w:tc>
        <w:tc>
          <w:tcPr>
            <w:tcW w:w="236" w:type="dxa"/>
            <w:tcBorders>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23.41</w:t>
            </w:r>
          </w:p>
        </w:tc>
        <w:tc>
          <w:tcPr>
            <w:tcW w:w="252"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43.26</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52.03</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11.15</w:t>
            </w:r>
          </w:p>
        </w:tc>
        <w:tc>
          <w:tcPr>
            <w:tcW w:w="26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11.69</w:t>
            </w:r>
          </w:p>
        </w:tc>
        <w:tc>
          <w:tcPr>
            <w:tcW w:w="30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26.13</w:t>
            </w:r>
          </w:p>
        </w:tc>
        <w:tc>
          <w:tcPr>
            <w:tcW w:w="236" w:type="dxa"/>
            <w:tcBorders>
              <w:right w:val="single"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14.49</w:t>
            </w:r>
          </w:p>
        </w:tc>
        <w:tc>
          <w:tcPr>
            <w:tcW w:w="252"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22.89</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02" w:type="dxa"/>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35.93</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dotted"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dotted"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dotted"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10.46</w:t>
            </w:r>
          </w:p>
        </w:tc>
        <w:tc>
          <w:tcPr>
            <w:tcW w:w="268" w:type="dxa"/>
            <w:tcBorders>
              <w:bottom w:val="dotted"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14.27</w:t>
            </w:r>
          </w:p>
        </w:tc>
        <w:tc>
          <w:tcPr>
            <w:tcW w:w="308" w:type="dxa"/>
            <w:tcBorders>
              <w:bottom w:val="dotted"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bottom w:val="dotted"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19.77</w:t>
            </w:r>
          </w:p>
        </w:tc>
        <w:tc>
          <w:tcPr>
            <w:tcW w:w="236" w:type="dxa"/>
            <w:tcBorders>
              <w:bottom w:val="dotted" w:sz="4" w:space="0" w:color="auto"/>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dotted"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12.99</w:t>
            </w:r>
          </w:p>
        </w:tc>
        <w:tc>
          <w:tcPr>
            <w:tcW w:w="252"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Borders>
              <w:bottom w:val="dotted"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27.77</w:t>
            </w:r>
          </w:p>
        </w:tc>
        <w:tc>
          <w:tcPr>
            <w:tcW w:w="266"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dotted"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43.89</w:t>
            </w:r>
          </w:p>
        </w:tc>
        <w:tc>
          <w:tcPr>
            <w:tcW w:w="266" w:type="dxa"/>
            <w:tcBorders>
              <w:bottom w:val="dotted"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top w:val="dotted"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Female</w:t>
            </w:r>
          </w:p>
        </w:tc>
        <w:tc>
          <w:tcPr>
            <w:tcW w:w="787" w:type="dxa"/>
            <w:tcBorders>
              <w:top w:val="dotted" w:sz="4" w:space="0" w:color="auto"/>
            </w:tcBorders>
            <w:vAlign w:val="bottom"/>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tcBorders>
              <w:top w:val="dotted"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top w:val="dotted" w:sz="4" w:space="0" w:color="auto"/>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21.63</w:t>
            </w:r>
          </w:p>
        </w:tc>
        <w:tc>
          <w:tcPr>
            <w:tcW w:w="268" w:type="dxa"/>
            <w:tcBorders>
              <w:top w:val="dotted"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top w:val="dotted"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40.74</w:t>
            </w:r>
          </w:p>
        </w:tc>
        <w:tc>
          <w:tcPr>
            <w:tcW w:w="308" w:type="dxa"/>
            <w:tcBorders>
              <w:top w:val="dotted"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top w:val="dotted"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54.30</w:t>
            </w:r>
          </w:p>
        </w:tc>
        <w:tc>
          <w:tcPr>
            <w:tcW w:w="236" w:type="dxa"/>
            <w:tcBorders>
              <w:top w:val="dotted" w:sz="4" w:space="0" w:color="auto"/>
              <w:right w:val="single" w:sz="4" w:space="0" w:color="auto"/>
            </w:tcBorders>
            <w:vAlign w:val="bottom"/>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top w:val="dotted" w:sz="4" w:space="0" w:color="auto"/>
              <w:left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35.83</w:t>
            </w:r>
          </w:p>
        </w:tc>
        <w:tc>
          <w:tcPr>
            <w:tcW w:w="252" w:type="dxa"/>
            <w:tcBorders>
              <w:top w:val="dotted" w:sz="4" w:space="0" w:color="auto"/>
            </w:tcBorders>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top w:val="dotted"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51.99</w:t>
            </w:r>
          </w:p>
        </w:tc>
        <w:tc>
          <w:tcPr>
            <w:tcW w:w="266" w:type="dxa"/>
            <w:tcBorders>
              <w:top w:val="dotted"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top w:val="dotted"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64.10</w:t>
            </w:r>
          </w:p>
        </w:tc>
        <w:tc>
          <w:tcPr>
            <w:tcW w:w="266" w:type="dxa"/>
            <w:tcBorders>
              <w:top w:val="dotted" w:sz="4" w:space="0" w:color="auto"/>
            </w:tcBorders>
            <w:vAlign w:val="bottom"/>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787" w:type="dxa"/>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7.70</w:t>
            </w:r>
          </w:p>
        </w:tc>
        <w:tc>
          <w:tcPr>
            <w:tcW w:w="26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17.84</w:t>
            </w:r>
          </w:p>
        </w:tc>
        <w:tc>
          <w:tcPr>
            <w:tcW w:w="308" w:type="dxa"/>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33.67</w:t>
            </w:r>
          </w:p>
        </w:tc>
        <w:tc>
          <w:tcPr>
            <w:tcW w:w="236" w:type="dxa"/>
            <w:tcBorders>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33.34</w:t>
            </w:r>
          </w:p>
        </w:tc>
        <w:tc>
          <w:tcPr>
            <w:tcW w:w="252"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43.96</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51.55</w:t>
            </w:r>
          </w:p>
        </w:tc>
        <w:tc>
          <w:tcPr>
            <w:tcW w:w="266" w:type="dxa"/>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656" w:type="dxa"/>
            <w:tcBorders>
              <w:left w:val="single" w:sz="4" w:space="0" w:color="auto"/>
            </w:tcBorders>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17.09</w:t>
            </w:r>
          </w:p>
        </w:tc>
        <w:tc>
          <w:tcPr>
            <w:tcW w:w="26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18.28</w:t>
            </w:r>
          </w:p>
        </w:tc>
        <w:tc>
          <w:tcPr>
            <w:tcW w:w="308" w:type="dxa"/>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21.12</w:t>
            </w:r>
          </w:p>
        </w:tc>
        <w:tc>
          <w:tcPr>
            <w:tcW w:w="236" w:type="dxa"/>
            <w:tcBorders>
              <w:right w:val="single" w:sz="4" w:space="0" w:color="auto"/>
            </w:tcBorders>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tcBorders>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28.76</w:t>
            </w:r>
          </w:p>
        </w:tc>
        <w:tc>
          <w:tcPr>
            <w:tcW w:w="252" w:type="dxa"/>
          </w:tcPr>
          <w:p w:rsidR="00AF3803" w:rsidRPr="005B7A42" w:rsidRDefault="00D63334"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ns</w:t>
            </w:r>
          </w:p>
        </w:tc>
        <w:tc>
          <w:tcPr>
            <w:tcW w:w="696" w:type="dxa"/>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34.83</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Pr>
          <w:p w:rsidR="00AF3803" w:rsidRPr="00AB0EAA" w:rsidRDefault="00563F68"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w:t>
            </w:r>
            <w:r w:rsidR="00B175CB">
              <w:rPr>
                <w:rFonts w:ascii="Arial" w:hAnsi="Arial" w:cs="Arial"/>
                <w:sz w:val="16"/>
                <w:szCs w:val="18"/>
              </w:rPr>
              <w:t>4.22</w:t>
            </w:r>
          </w:p>
        </w:tc>
        <w:tc>
          <w:tcPr>
            <w:tcW w:w="266" w:type="dxa"/>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r w:rsidR="00AF3803" w:rsidRPr="005B7A42" w:rsidTr="001A24F1">
        <w:tc>
          <w:tcPr>
            <w:tcW w:w="1008" w:type="dxa"/>
            <w:tcBorders>
              <w:bottom w:val="single" w:sz="4" w:space="0" w:color="auto"/>
            </w:tcBorders>
            <w:vAlign w:val="bottom"/>
          </w:tcPr>
          <w:p w:rsidR="00AF3803" w:rsidRPr="005B7A42" w:rsidRDefault="00AF3803" w:rsidP="00A10D80">
            <w:pPr>
              <w:pStyle w:val="BodyText"/>
              <w:spacing w:before="40" w:after="20" w:line="240" w:lineRule="auto"/>
              <w:jc w:val="center"/>
              <w:rPr>
                <w:rFonts w:ascii="Arial" w:hAnsi="Arial" w:cs="Arial"/>
                <w:sz w:val="16"/>
                <w:szCs w:val="18"/>
              </w:rPr>
            </w:pPr>
          </w:p>
        </w:tc>
        <w:tc>
          <w:tcPr>
            <w:tcW w:w="839" w:type="dxa"/>
            <w:tcBorders>
              <w:bottom w:val="single" w:sz="4" w:space="0" w:color="auto"/>
            </w:tcBorders>
          </w:tcPr>
          <w:p w:rsidR="00AF3803" w:rsidRPr="005B7A42" w:rsidRDefault="00AF3803" w:rsidP="00A10D80">
            <w:pPr>
              <w:pStyle w:val="BodyText"/>
              <w:spacing w:before="40" w:after="20" w:line="240" w:lineRule="auto"/>
              <w:jc w:val="center"/>
              <w:rPr>
                <w:rFonts w:ascii="Arial" w:hAnsi="Arial" w:cs="Arial"/>
                <w:sz w:val="16"/>
                <w:szCs w:val="18"/>
              </w:rPr>
            </w:pPr>
          </w:p>
        </w:tc>
        <w:tc>
          <w:tcPr>
            <w:tcW w:w="787" w:type="dxa"/>
            <w:tcBorders>
              <w:bottom w:val="single" w:sz="4" w:space="0" w:color="auto"/>
            </w:tcBorders>
            <w:shd w:val="clear" w:color="auto" w:fill="DDD9C3" w:themeFill="background2" w:themeFillShade="E6"/>
          </w:tcPr>
          <w:p w:rsidR="00AF3803" w:rsidRPr="005B7A42" w:rsidRDefault="00AF3803" w:rsidP="00AF3803">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787" w:type="dxa"/>
            <w:tcBorders>
              <w:bottom w:val="single" w:sz="4" w:space="0" w:color="auto"/>
            </w:tcBorders>
            <w:shd w:val="clear" w:color="auto" w:fill="DDD9C3" w:themeFill="background2" w:themeFillShade="E6"/>
          </w:tcPr>
          <w:p w:rsidR="00AF3803" w:rsidRPr="005B7A42" w:rsidRDefault="00AF3803" w:rsidP="00A10D8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656" w:type="dxa"/>
            <w:tcBorders>
              <w:left w:val="single" w:sz="4" w:space="0" w:color="auto"/>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16.67</w:t>
            </w:r>
          </w:p>
        </w:tc>
        <w:tc>
          <w:tcPr>
            <w:tcW w:w="268" w:type="dxa"/>
            <w:tcBorders>
              <w:bottom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700" w:type="dxa"/>
            <w:tcBorders>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19.37</w:t>
            </w:r>
          </w:p>
        </w:tc>
        <w:tc>
          <w:tcPr>
            <w:tcW w:w="308" w:type="dxa"/>
            <w:tcBorders>
              <w:bottom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45" w:type="dxa"/>
            <w:tcBorders>
              <w:bottom w:val="single" w:sz="4" w:space="0" w:color="auto"/>
            </w:tcBorders>
            <w:shd w:val="clear" w:color="auto" w:fill="DDD9C3" w:themeFill="background2" w:themeFillShade="E6"/>
          </w:tcPr>
          <w:p w:rsidR="00AF3803" w:rsidRPr="00AB0EAA" w:rsidRDefault="00AF3803" w:rsidP="00AB0EAA">
            <w:pPr>
              <w:pStyle w:val="BodyText"/>
              <w:spacing w:before="40" w:after="20" w:line="240" w:lineRule="auto"/>
              <w:ind w:right="-50"/>
              <w:jc w:val="right"/>
              <w:rPr>
                <w:rFonts w:ascii="Arial" w:hAnsi="Arial" w:cs="Arial"/>
                <w:sz w:val="16"/>
                <w:szCs w:val="18"/>
              </w:rPr>
            </w:pPr>
            <w:r w:rsidRPr="00AB0EAA">
              <w:rPr>
                <w:rFonts w:ascii="Arial" w:hAnsi="Arial" w:cs="Arial"/>
                <w:sz w:val="16"/>
                <w:szCs w:val="18"/>
              </w:rPr>
              <w:t>24.06</w:t>
            </w:r>
          </w:p>
        </w:tc>
        <w:tc>
          <w:tcPr>
            <w:tcW w:w="236" w:type="dxa"/>
            <w:tcBorders>
              <w:bottom w:val="single" w:sz="4" w:space="0" w:color="auto"/>
              <w:right w:val="single" w:sz="4" w:space="0" w:color="auto"/>
            </w:tcBorders>
            <w:shd w:val="clear" w:color="auto" w:fill="DDD9C3" w:themeFill="background2" w:themeFillShade="E6"/>
          </w:tcPr>
          <w:p w:rsidR="00AF3803" w:rsidRPr="005B7A42" w:rsidRDefault="00AF3803" w:rsidP="00AB0EAA">
            <w:pPr>
              <w:pStyle w:val="BodyText"/>
              <w:spacing w:before="40" w:after="20" w:line="240" w:lineRule="auto"/>
              <w:ind w:right="-50"/>
              <w:jc w:val="right"/>
              <w:rPr>
                <w:rFonts w:ascii="Arial" w:hAnsi="Arial" w:cs="Arial"/>
                <w:sz w:val="16"/>
                <w:szCs w:val="18"/>
              </w:rPr>
            </w:pPr>
          </w:p>
        </w:tc>
        <w:tc>
          <w:tcPr>
            <w:tcW w:w="620" w:type="dxa"/>
            <w:tcBorders>
              <w:left w:val="single" w:sz="4" w:space="0" w:color="auto"/>
              <w:bottom w:val="single"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28.06</w:t>
            </w:r>
          </w:p>
        </w:tc>
        <w:tc>
          <w:tcPr>
            <w:tcW w:w="252"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96" w:type="dxa"/>
            <w:tcBorders>
              <w:bottom w:val="single"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41.24</w:t>
            </w:r>
          </w:p>
        </w:tc>
        <w:tc>
          <w:tcPr>
            <w:tcW w:w="266"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c>
          <w:tcPr>
            <w:tcW w:w="602" w:type="dxa"/>
            <w:tcBorders>
              <w:bottom w:val="single" w:sz="4" w:space="0" w:color="auto"/>
            </w:tcBorders>
            <w:shd w:val="clear" w:color="auto" w:fill="DDD9C3" w:themeFill="background2" w:themeFillShade="E6"/>
          </w:tcPr>
          <w:p w:rsidR="00AF3803" w:rsidRPr="00AB0EAA" w:rsidRDefault="00B175CB" w:rsidP="00AB0EAA">
            <w:pPr>
              <w:pStyle w:val="BodyText"/>
              <w:spacing w:before="40" w:after="20" w:line="240" w:lineRule="auto"/>
              <w:ind w:right="-50"/>
              <w:jc w:val="right"/>
              <w:rPr>
                <w:rFonts w:ascii="Arial" w:hAnsi="Arial" w:cs="Arial"/>
                <w:sz w:val="16"/>
                <w:szCs w:val="18"/>
              </w:rPr>
            </w:pPr>
            <w:r>
              <w:rPr>
                <w:rFonts w:ascii="Arial" w:hAnsi="Arial" w:cs="Arial"/>
                <w:sz w:val="16"/>
                <w:szCs w:val="18"/>
              </w:rPr>
              <w:t>48.13</w:t>
            </w:r>
          </w:p>
        </w:tc>
        <w:tc>
          <w:tcPr>
            <w:tcW w:w="266" w:type="dxa"/>
            <w:tcBorders>
              <w:bottom w:val="single" w:sz="4" w:space="0" w:color="auto"/>
            </w:tcBorders>
            <w:shd w:val="clear" w:color="auto" w:fill="DDD9C3" w:themeFill="background2" w:themeFillShade="E6"/>
          </w:tcPr>
          <w:p w:rsidR="00AF3803" w:rsidRPr="005B7A42" w:rsidRDefault="00AF3803" w:rsidP="007F1489">
            <w:pPr>
              <w:pStyle w:val="BodyText"/>
              <w:spacing w:before="40" w:after="20" w:line="240" w:lineRule="auto"/>
              <w:ind w:left="-114" w:right="-50"/>
              <w:jc w:val="left"/>
              <w:rPr>
                <w:rFonts w:ascii="Arial" w:hAnsi="Arial" w:cs="Arial"/>
                <w:sz w:val="16"/>
                <w:szCs w:val="18"/>
              </w:rPr>
            </w:pPr>
            <w:r>
              <w:rPr>
                <w:rFonts w:ascii="Arial" w:hAnsi="Arial" w:cs="Arial"/>
                <w:sz w:val="16"/>
                <w:szCs w:val="18"/>
              </w:rPr>
              <w:t>***</w:t>
            </w:r>
          </w:p>
        </w:tc>
      </w:tr>
    </w:tbl>
    <w:p w:rsidR="004D2C0C" w:rsidRPr="004D2C0C" w:rsidRDefault="00543995" w:rsidP="004D2C0C">
      <w:pPr>
        <w:spacing w:before="120" w:after="240"/>
        <w:rPr>
          <w:rFonts w:ascii="Arial" w:hAnsi="Arial" w:cs="Arial"/>
          <w:sz w:val="16"/>
          <w:szCs w:val="16"/>
        </w:rPr>
      </w:pPr>
      <w:r>
        <w:rPr>
          <w:rFonts w:ascii="Arial" w:hAnsi="Arial" w:cs="Arial"/>
          <w:sz w:val="16"/>
          <w:szCs w:val="16"/>
        </w:rPr>
        <w:t>The probability (p) that a given post-completion income is greater than the income before study is indicated by</w:t>
      </w:r>
      <w:proofErr w:type="gramStart"/>
      <w:r>
        <w:rPr>
          <w:rFonts w:ascii="Arial" w:hAnsi="Arial" w:cs="Arial"/>
          <w:sz w:val="16"/>
          <w:szCs w:val="16"/>
        </w:rPr>
        <w:t>:</w:t>
      </w:r>
      <w:proofErr w:type="gramEnd"/>
      <w:r>
        <w:rPr>
          <w:rFonts w:ascii="Arial" w:hAnsi="Arial" w:cs="Arial"/>
          <w:sz w:val="16"/>
          <w:szCs w:val="16"/>
        </w:rPr>
        <w:br/>
      </w:r>
      <w:r w:rsidRPr="00E359BE">
        <w:rPr>
          <w:rFonts w:ascii="Arial" w:hAnsi="Arial" w:cs="Arial"/>
          <w:sz w:val="16"/>
          <w:szCs w:val="16"/>
        </w:rPr>
        <w:t xml:space="preserve">*** </w:t>
      </w:r>
      <w:r>
        <w:rPr>
          <w:rFonts w:ascii="Arial" w:hAnsi="Arial" w:cs="Arial"/>
          <w:sz w:val="16"/>
          <w:szCs w:val="16"/>
        </w:rPr>
        <w:t>p&lt;</w:t>
      </w:r>
      <w:r w:rsidRPr="00E359BE">
        <w:rPr>
          <w:rFonts w:ascii="Arial" w:hAnsi="Arial" w:cs="Arial"/>
          <w:sz w:val="16"/>
          <w:szCs w:val="16"/>
        </w:rPr>
        <w:t xml:space="preserve">0.001; ** </w:t>
      </w:r>
      <w:r>
        <w:rPr>
          <w:rFonts w:ascii="Arial" w:hAnsi="Arial" w:cs="Arial"/>
          <w:sz w:val="16"/>
          <w:szCs w:val="16"/>
        </w:rPr>
        <w:t>p&lt;</w:t>
      </w:r>
      <w:r w:rsidRPr="00E359BE">
        <w:rPr>
          <w:rFonts w:ascii="Arial" w:hAnsi="Arial" w:cs="Arial"/>
          <w:sz w:val="16"/>
          <w:szCs w:val="16"/>
        </w:rPr>
        <w:t xml:space="preserve">0.01; * </w:t>
      </w:r>
      <w:r>
        <w:rPr>
          <w:rFonts w:ascii="Arial" w:hAnsi="Arial" w:cs="Arial"/>
          <w:sz w:val="16"/>
          <w:szCs w:val="16"/>
        </w:rPr>
        <w:t>p&lt;</w:t>
      </w:r>
      <w:r w:rsidRPr="00E359BE">
        <w:rPr>
          <w:rFonts w:ascii="Arial" w:hAnsi="Arial" w:cs="Arial"/>
          <w:sz w:val="16"/>
          <w:szCs w:val="16"/>
        </w:rPr>
        <w:t>0.05</w:t>
      </w:r>
      <w:r>
        <w:rPr>
          <w:rFonts w:ascii="Arial" w:hAnsi="Arial" w:cs="Arial"/>
          <w:sz w:val="16"/>
          <w:szCs w:val="16"/>
        </w:rPr>
        <w:t>; ns – not significantly different</w:t>
      </w:r>
      <w:r w:rsidRPr="00E359BE">
        <w:rPr>
          <w:rFonts w:ascii="Arial" w:hAnsi="Arial" w:cs="Arial"/>
          <w:sz w:val="16"/>
          <w:szCs w:val="16"/>
        </w:rPr>
        <w:t>.</w:t>
      </w:r>
      <w:r w:rsidR="004D2C0C">
        <w:rPr>
          <w:rFonts w:ascii="Arial" w:hAnsi="Arial" w:cs="Arial"/>
          <w:sz w:val="16"/>
          <w:szCs w:val="16"/>
        </w:rPr>
        <w:br/>
      </w:r>
      <w:r w:rsidR="004D2C0C" w:rsidRPr="004D2C0C">
        <w:rPr>
          <w:rFonts w:ascii="Arial" w:hAnsi="Arial" w:cs="Arial"/>
          <w:sz w:val="16"/>
          <w:szCs w:val="16"/>
        </w:rPr>
        <w:t xml:space="preserve">Source: Statistics New Zealand, Integrated Data Infrastructure, Ministry of Education interpretation. </w:t>
      </w:r>
    </w:p>
    <w:p w:rsidR="00543995" w:rsidRDefault="00543995" w:rsidP="00543995">
      <w:pPr>
        <w:pStyle w:val="BodyText"/>
        <w:spacing w:before="120" w:line="240" w:lineRule="auto"/>
        <w:jc w:val="left"/>
        <w:rPr>
          <w:rFonts w:ascii="Arial" w:hAnsi="Arial" w:cs="Arial"/>
          <w:sz w:val="16"/>
          <w:szCs w:val="16"/>
        </w:rPr>
      </w:pPr>
    </w:p>
    <w:p w:rsidR="00686683" w:rsidRDefault="00686683">
      <w:r>
        <w:br w:type="page"/>
      </w:r>
    </w:p>
    <w:p w:rsidR="00686683" w:rsidRDefault="00686683" w:rsidP="00686683">
      <w:pPr>
        <w:pStyle w:val="Caption"/>
        <w:rPr>
          <w:b w:val="0"/>
          <w:sz w:val="16"/>
        </w:rPr>
      </w:pPr>
      <w:proofErr w:type="gramStart"/>
      <w:r w:rsidRPr="004D2C0C">
        <w:rPr>
          <w:sz w:val="16"/>
        </w:rPr>
        <w:lastRenderedPageBreak/>
        <w:t xml:space="preserve">Figure </w:t>
      </w:r>
      <w:r w:rsidR="0092253D" w:rsidRPr="004D2C0C">
        <w:rPr>
          <w:sz w:val="16"/>
        </w:rPr>
        <w:fldChar w:fldCharType="begin"/>
      </w:r>
      <w:r w:rsidR="008E462E" w:rsidRPr="004D2C0C">
        <w:rPr>
          <w:sz w:val="16"/>
        </w:rPr>
        <w:instrText xml:space="preserve"> SEQ Figure \* ARABIC </w:instrText>
      </w:r>
      <w:r w:rsidR="0092253D" w:rsidRPr="004D2C0C">
        <w:rPr>
          <w:sz w:val="16"/>
        </w:rPr>
        <w:fldChar w:fldCharType="separate"/>
      </w:r>
      <w:r w:rsidR="00D15EF8">
        <w:rPr>
          <w:noProof/>
          <w:sz w:val="16"/>
        </w:rPr>
        <w:t>4</w:t>
      </w:r>
      <w:r w:rsidR="0092253D" w:rsidRPr="004D2C0C">
        <w:rPr>
          <w:sz w:val="16"/>
        </w:rPr>
        <w:fldChar w:fldCharType="end"/>
      </w:r>
      <w:r w:rsidRPr="004D2C0C">
        <w:rPr>
          <w:sz w:val="16"/>
        </w:rPr>
        <w:t>.</w:t>
      </w:r>
      <w:proofErr w:type="gramEnd"/>
      <w:r w:rsidRPr="004D2C0C">
        <w:rPr>
          <w:sz w:val="16"/>
        </w:rPr>
        <w:t xml:space="preserve"> </w:t>
      </w:r>
      <w:r w:rsidRPr="004D2C0C">
        <w:rPr>
          <w:b w:val="0"/>
          <w:sz w:val="16"/>
        </w:rPr>
        <w:t xml:space="preserve">Pre-study and </w:t>
      </w:r>
      <w:r w:rsidR="00D86DFE" w:rsidRPr="004D2C0C">
        <w:rPr>
          <w:b w:val="0"/>
          <w:sz w:val="16"/>
        </w:rPr>
        <w:t xml:space="preserve">expected </w:t>
      </w:r>
      <w:r w:rsidRPr="004D2C0C">
        <w:rPr>
          <w:b w:val="0"/>
          <w:sz w:val="16"/>
        </w:rPr>
        <w:t>post-completion incomes for people in their twenties, thirties and forties, by level of qualification completed and the perce</w:t>
      </w:r>
      <w:r w:rsidR="004D2C0C" w:rsidRPr="004D2C0C">
        <w:rPr>
          <w:b w:val="0"/>
          <w:sz w:val="16"/>
        </w:rPr>
        <w:t xml:space="preserve">ntile of their </w:t>
      </w:r>
      <w:r w:rsidR="003D1718">
        <w:rPr>
          <w:b w:val="0"/>
          <w:sz w:val="16"/>
        </w:rPr>
        <w:t>post-completion</w:t>
      </w:r>
      <w:r w:rsidR="004D2C0C" w:rsidRPr="004D2C0C">
        <w:rPr>
          <w:b w:val="0"/>
          <w:sz w:val="16"/>
        </w:rPr>
        <w:t xml:space="preserve"> income</w:t>
      </w:r>
    </w:p>
    <w:p w:rsidR="00781B66" w:rsidRPr="00781B66" w:rsidRDefault="00781B66" w:rsidP="00781B66">
      <w:pPr>
        <w:rPr>
          <w:sz w:val="12"/>
        </w:rPr>
      </w:pPr>
    </w:p>
    <w:tbl>
      <w:tblPr>
        <w:tblStyle w:val="TableGrid"/>
        <w:tblW w:w="895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6"/>
        <w:gridCol w:w="4476"/>
      </w:tblGrid>
      <w:tr w:rsidR="007C05AB" w:rsidRPr="00686683" w:rsidTr="00893D86">
        <w:tc>
          <w:tcPr>
            <w:tcW w:w="4476" w:type="dxa"/>
          </w:tcPr>
          <w:p w:rsidR="00686683" w:rsidRPr="00686683" w:rsidRDefault="00686683" w:rsidP="00686683">
            <w:pPr>
              <w:ind w:left="709"/>
              <w:rPr>
                <w:rFonts w:ascii="Arial" w:hAnsi="Arial" w:cs="Arial"/>
                <w:sz w:val="20"/>
              </w:rPr>
            </w:pPr>
            <w:r w:rsidRPr="00686683">
              <w:rPr>
                <w:rFonts w:ascii="Arial" w:hAnsi="Arial" w:cs="Arial"/>
                <w:sz w:val="20"/>
              </w:rPr>
              <w:t>Certificates at levels 1 to 3</w:t>
            </w:r>
          </w:p>
        </w:tc>
        <w:tc>
          <w:tcPr>
            <w:tcW w:w="4476" w:type="dxa"/>
          </w:tcPr>
          <w:p w:rsidR="00686683" w:rsidRPr="00686683" w:rsidRDefault="00686683" w:rsidP="00686683">
            <w:pPr>
              <w:ind w:left="743"/>
              <w:rPr>
                <w:rFonts w:ascii="Arial" w:hAnsi="Arial" w:cs="Arial"/>
                <w:sz w:val="20"/>
              </w:rPr>
            </w:pPr>
            <w:r w:rsidRPr="00686683">
              <w:rPr>
                <w:rFonts w:ascii="Arial" w:hAnsi="Arial" w:cs="Arial"/>
                <w:sz w:val="20"/>
              </w:rPr>
              <w:t>Certificates at level 4</w:t>
            </w:r>
          </w:p>
        </w:tc>
      </w:tr>
      <w:tr w:rsidR="007C05AB" w:rsidRPr="00686683" w:rsidTr="00893D86">
        <w:tc>
          <w:tcPr>
            <w:tcW w:w="4476" w:type="dxa"/>
          </w:tcPr>
          <w:p w:rsidR="00686683" w:rsidRPr="00686683" w:rsidRDefault="0092253D" w:rsidP="00CF4012">
            <w:pPr>
              <w:rPr>
                <w:rFonts w:ascii="Arial" w:hAnsi="Arial" w:cs="Arial"/>
                <w:sz w:val="20"/>
              </w:rPr>
            </w:pPr>
            <w:r w:rsidRPr="0092253D">
              <w:rPr>
                <w:noProof/>
                <w:lang w:val="en-US" w:eastAsia="zh-TW"/>
              </w:rPr>
              <w:pict>
                <v:shapetype id="_x0000_t202" coordsize="21600,21600" o:spt="202" path="m,l,21600r21600,l21600,xe">
                  <v:stroke joinstyle="miter"/>
                  <v:path gradientshapeok="t" o:connecttype="rect"/>
                </v:shapetype>
                <v:shape id="_x0000_s1027" type="#_x0000_t202" style="position:absolute;margin-left:183.6pt;margin-top:11.55pt;width:23.4pt;height:16.75pt;z-index:251660288;mso-position-horizontal-relative:text;mso-position-vertical-relative:text;mso-width-relative:margin;mso-height-relative:margin" stroked="f">
                  <v:fill opacity="0"/>
                  <v:textbox style="mso-next-textbox:#_x0000_s1027">
                    <w:txbxContent>
                      <w:p w:rsidR="00AF5A5B" w:rsidRPr="006F4C52" w:rsidRDefault="00AF5A5B">
                        <w:pPr>
                          <w:rPr>
                            <w:sz w:val="12"/>
                          </w:rPr>
                        </w:pPr>
                        <w:r w:rsidRPr="006F4C52">
                          <w:rPr>
                            <w:sz w:val="12"/>
                          </w:rPr>
                          <w:t>1:1</w:t>
                        </w:r>
                      </w:p>
                    </w:txbxContent>
                  </v:textbox>
                </v:shape>
              </w:pict>
            </w:r>
            <w:r w:rsidRPr="0092253D">
              <w:rPr>
                <w:noProof/>
                <w:lang w:eastAsia="en-NZ"/>
              </w:rPr>
              <w:pict>
                <v:shape id="_x0000_s1028" type="#_x0000_t202" style="position:absolute;margin-left:108pt;margin-top:12.25pt;width:26.85pt;height:16.75pt;z-index:251661312;mso-position-horizontal-relative:text;mso-position-vertical-relative:text;mso-width-relative:margin;mso-height-relative:margin" stroked="f">
                  <v:fill opacity="0"/>
                  <v:textbox style="mso-next-textbox:#_x0000_s1028">
                    <w:txbxContent>
                      <w:p w:rsidR="00AF5A5B" w:rsidRPr="006F4C52" w:rsidRDefault="00AF5A5B" w:rsidP="006F4C52">
                        <w:pPr>
                          <w:rPr>
                            <w:sz w:val="12"/>
                          </w:rPr>
                        </w:pPr>
                        <w:r w:rsidRPr="006F4C52">
                          <w:rPr>
                            <w:sz w:val="12"/>
                          </w:rPr>
                          <w:t>1:</w:t>
                        </w:r>
                        <w:r>
                          <w:rPr>
                            <w:sz w:val="12"/>
                          </w:rPr>
                          <w:t>2</w:t>
                        </w:r>
                      </w:p>
                    </w:txbxContent>
                  </v:textbox>
                </v:shape>
              </w:pict>
            </w:r>
            <w:r w:rsidR="00D567DE">
              <w:rPr>
                <w:rFonts w:ascii="Arial" w:hAnsi="Arial" w:cs="Arial"/>
                <w:noProof/>
                <w:sz w:val="20"/>
                <w:lang w:eastAsia="en-NZ"/>
              </w:rPr>
              <w:drawing>
                <wp:inline distT="0" distB="0" distL="0" distR="0">
                  <wp:extent cx="2681280" cy="2681280"/>
                  <wp:effectExtent l="19050" t="0" r="477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2681280" cy="2681280"/>
                          </a:xfrm>
                          <a:prstGeom prst="rect">
                            <a:avLst/>
                          </a:prstGeom>
                          <a:noFill/>
                          <a:ln w="9525">
                            <a:noFill/>
                            <a:miter lim="800000"/>
                            <a:headEnd/>
                            <a:tailEnd/>
                          </a:ln>
                        </pic:spPr>
                      </pic:pic>
                    </a:graphicData>
                  </a:graphic>
                </wp:inline>
              </w:drawing>
            </w:r>
          </w:p>
        </w:tc>
        <w:tc>
          <w:tcPr>
            <w:tcW w:w="4476" w:type="dxa"/>
          </w:tcPr>
          <w:p w:rsidR="00686683" w:rsidRPr="00686683" w:rsidRDefault="0092253D" w:rsidP="00CF4012">
            <w:pPr>
              <w:rPr>
                <w:rFonts w:ascii="Arial" w:hAnsi="Arial" w:cs="Arial"/>
                <w:sz w:val="20"/>
              </w:rPr>
            </w:pPr>
            <w:r>
              <w:rPr>
                <w:rFonts w:ascii="Arial" w:hAnsi="Arial" w:cs="Arial"/>
                <w:noProof/>
                <w:sz w:val="20"/>
                <w:lang w:eastAsia="en-NZ"/>
              </w:rPr>
              <w:pict>
                <v:shape id="_x0000_s1030" type="#_x0000_t202" style="position:absolute;margin-left:108.1pt;margin-top:12pt;width:26.85pt;height:16.75pt;z-index:251662336;mso-position-horizontal-relative:text;mso-position-vertical-relative:text;mso-width-relative:margin;mso-height-relative:margin" stroked="f">
                  <v:fill opacity="0"/>
                  <v:textbox style="mso-next-textbox:#_x0000_s1030">
                    <w:txbxContent>
                      <w:p w:rsidR="00AF5A5B" w:rsidRPr="006F4C52" w:rsidRDefault="00AF5A5B" w:rsidP="005D3CC8">
                        <w:pPr>
                          <w:rPr>
                            <w:sz w:val="12"/>
                          </w:rPr>
                        </w:pPr>
                        <w:r w:rsidRPr="006F4C52">
                          <w:rPr>
                            <w:sz w:val="12"/>
                          </w:rPr>
                          <w:t>1:</w:t>
                        </w:r>
                        <w:r>
                          <w:rPr>
                            <w:sz w:val="12"/>
                          </w:rPr>
                          <w:t>2</w:t>
                        </w:r>
                      </w:p>
                    </w:txbxContent>
                  </v:textbox>
                </v:shape>
              </w:pict>
            </w:r>
            <w:r w:rsidRPr="0092253D">
              <w:rPr>
                <w:noProof/>
                <w:lang w:eastAsia="en-NZ"/>
              </w:rPr>
              <w:pict>
                <v:shape id="_x0000_s1033" type="#_x0000_t202" style="position:absolute;margin-left:179.65pt;margin-top:15.15pt;width:23.4pt;height:16.75pt;z-index:251665408;mso-position-horizontal-relative:text;mso-position-vertical-relative:text;mso-width-relative:margin;mso-height-relative:margin" stroked="f">
                  <v:fill opacity="0"/>
                  <v:textbox style="mso-next-textbox:#_x0000_s1033">
                    <w:txbxContent>
                      <w:p w:rsidR="00AF5A5B" w:rsidRPr="006F4C52" w:rsidRDefault="00AF5A5B" w:rsidP="008275D7">
                        <w:pPr>
                          <w:rPr>
                            <w:sz w:val="12"/>
                          </w:rPr>
                        </w:pPr>
                        <w:r w:rsidRPr="006F4C52">
                          <w:rPr>
                            <w:sz w:val="12"/>
                          </w:rPr>
                          <w:t>1:1</w:t>
                        </w:r>
                      </w:p>
                    </w:txbxContent>
                  </v:textbox>
                </v:shape>
              </w:pict>
            </w:r>
            <w:r w:rsidR="00D567DE">
              <w:rPr>
                <w:rFonts w:ascii="Arial" w:hAnsi="Arial" w:cs="Arial"/>
                <w:noProof/>
                <w:sz w:val="20"/>
                <w:lang w:eastAsia="en-NZ"/>
              </w:rPr>
              <w:drawing>
                <wp:inline distT="0" distB="0" distL="0" distR="0">
                  <wp:extent cx="2681280" cy="2681280"/>
                  <wp:effectExtent l="19050" t="0" r="477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2681280" cy="2681280"/>
                          </a:xfrm>
                          <a:prstGeom prst="rect">
                            <a:avLst/>
                          </a:prstGeom>
                          <a:noFill/>
                          <a:ln w="9525">
                            <a:noFill/>
                            <a:miter lim="800000"/>
                            <a:headEnd/>
                            <a:tailEnd/>
                          </a:ln>
                        </pic:spPr>
                      </pic:pic>
                    </a:graphicData>
                  </a:graphic>
                </wp:inline>
              </w:drawing>
            </w:r>
          </w:p>
        </w:tc>
      </w:tr>
      <w:tr w:rsidR="007C05AB" w:rsidRPr="00686683" w:rsidTr="00893D86">
        <w:tc>
          <w:tcPr>
            <w:tcW w:w="4476" w:type="dxa"/>
          </w:tcPr>
          <w:p w:rsidR="00686683" w:rsidRPr="00686683" w:rsidRDefault="00686683" w:rsidP="00686683">
            <w:pPr>
              <w:ind w:left="709"/>
              <w:rPr>
                <w:rFonts w:ascii="Arial" w:hAnsi="Arial" w:cs="Arial"/>
                <w:sz w:val="20"/>
              </w:rPr>
            </w:pPr>
            <w:r w:rsidRPr="00686683">
              <w:rPr>
                <w:rFonts w:ascii="Arial" w:hAnsi="Arial" w:cs="Arial"/>
                <w:sz w:val="20"/>
              </w:rPr>
              <w:t>Diplomas</w:t>
            </w:r>
          </w:p>
        </w:tc>
        <w:tc>
          <w:tcPr>
            <w:tcW w:w="4476" w:type="dxa"/>
          </w:tcPr>
          <w:p w:rsidR="00686683" w:rsidRPr="00686683" w:rsidRDefault="00686683" w:rsidP="00686683">
            <w:pPr>
              <w:ind w:left="743"/>
              <w:rPr>
                <w:rFonts w:ascii="Arial" w:hAnsi="Arial" w:cs="Arial"/>
                <w:sz w:val="20"/>
              </w:rPr>
            </w:pPr>
            <w:proofErr w:type="spellStart"/>
            <w:r w:rsidRPr="00686683">
              <w:rPr>
                <w:rFonts w:ascii="Arial" w:hAnsi="Arial" w:cs="Arial"/>
                <w:sz w:val="20"/>
              </w:rPr>
              <w:t>Bachelors</w:t>
            </w:r>
            <w:proofErr w:type="spellEnd"/>
            <w:r w:rsidRPr="00686683">
              <w:rPr>
                <w:rFonts w:ascii="Arial" w:hAnsi="Arial" w:cs="Arial"/>
                <w:sz w:val="20"/>
              </w:rPr>
              <w:t xml:space="preserve"> degrees</w:t>
            </w:r>
          </w:p>
        </w:tc>
      </w:tr>
      <w:tr w:rsidR="007C05AB" w:rsidRPr="00686683" w:rsidTr="00893D86">
        <w:tc>
          <w:tcPr>
            <w:tcW w:w="4476" w:type="dxa"/>
          </w:tcPr>
          <w:p w:rsidR="00686683" w:rsidRPr="00686683" w:rsidRDefault="0092253D" w:rsidP="00CF4012">
            <w:pPr>
              <w:rPr>
                <w:rFonts w:ascii="Arial" w:hAnsi="Arial" w:cs="Arial"/>
                <w:sz w:val="20"/>
              </w:rPr>
            </w:pPr>
            <w:r w:rsidRPr="0092253D">
              <w:rPr>
                <w:noProof/>
                <w:lang w:eastAsia="en-NZ"/>
              </w:rPr>
              <w:pict>
                <v:shape id="_x0000_s1034" type="#_x0000_t202" style="position:absolute;margin-left:183.6pt;margin-top:11.65pt;width:23.4pt;height:16.75pt;z-index:251666432;mso-position-horizontal-relative:text;mso-position-vertical-relative:text;mso-width-relative:margin;mso-height-relative:margin" stroked="f">
                  <v:fill opacity="0"/>
                  <v:textbox style="mso-next-textbox:#_x0000_s1034">
                    <w:txbxContent>
                      <w:p w:rsidR="00AF5A5B" w:rsidRPr="006F4C52" w:rsidRDefault="00AF5A5B" w:rsidP="005471A0">
                        <w:pPr>
                          <w:rPr>
                            <w:sz w:val="12"/>
                          </w:rPr>
                        </w:pPr>
                        <w:r w:rsidRPr="006F4C52">
                          <w:rPr>
                            <w:sz w:val="12"/>
                          </w:rPr>
                          <w:t>1:1</w:t>
                        </w:r>
                      </w:p>
                    </w:txbxContent>
                  </v:textbox>
                </v:shape>
              </w:pict>
            </w:r>
            <w:r>
              <w:rPr>
                <w:rFonts w:ascii="Arial" w:hAnsi="Arial" w:cs="Arial"/>
                <w:noProof/>
                <w:sz w:val="20"/>
                <w:lang w:eastAsia="en-NZ"/>
              </w:rPr>
              <w:pict>
                <v:shape id="_x0000_s1032" type="#_x0000_t202" style="position:absolute;margin-left:108.7pt;margin-top:10.85pt;width:26.85pt;height:16.75pt;z-index:251664384;mso-position-horizontal-relative:text;mso-position-vertical-relative:text;mso-width-relative:margin;mso-height-relative:margin" stroked="f">
                  <v:fill opacity="0"/>
                  <v:textbox style="mso-next-textbox:#_x0000_s1032">
                    <w:txbxContent>
                      <w:p w:rsidR="00AF5A5B" w:rsidRPr="006F4C52" w:rsidRDefault="00AF5A5B" w:rsidP="005D3CC8">
                        <w:pPr>
                          <w:rPr>
                            <w:sz w:val="12"/>
                          </w:rPr>
                        </w:pPr>
                        <w:r w:rsidRPr="006F4C52">
                          <w:rPr>
                            <w:sz w:val="12"/>
                          </w:rPr>
                          <w:t>1:</w:t>
                        </w:r>
                        <w:r>
                          <w:rPr>
                            <w:sz w:val="12"/>
                          </w:rPr>
                          <w:t>2</w:t>
                        </w:r>
                      </w:p>
                    </w:txbxContent>
                  </v:textbox>
                </v:shape>
              </w:pict>
            </w:r>
            <w:r w:rsidR="00D567DE">
              <w:rPr>
                <w:rFonts w:ascii="Arial" w:hAnsi="Arial" w:cs="Arial"/>
                <w:noProof/>
                <w:sz w:val="20"/>
                <w:lang w:eastAsia="en-NZ"/>
              </w:rPr>
              <w:drawing>
                <wp:inline distT="0" distB="0" distL="0" distR="0">
                  <wp:extent cx="2681280" cy="2681280"/>
                  <wp:effectExtent l="19050" t="0" r="477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2681280" cy="2681280"/>
                          </a:xfrm>
                          <a:prstGeom prst="rect">
                            <a:avLst/>
                          </a:prstGeom>
                          <a:noFill/>
                          <a:ln w="9525">
                            <a:noFill/>
                            <a:miter lim="800000"/>
                            <a:headEnd/>
                            <a:tailEnd/>
                          </a:ln>
                        </pic:spPr>
                      </pic:pic>
                    </a:graphicData>
                  </a:graphic>
                </wp:inline>
              </w:drawing>
            </w:r>
          </w:p>
        </w:tc>
        <w:tc>
          <w:tcPr>
            <w:tcW w:w="4476" w:type="dxa"/>
          </w:tcPr>
          <w:p w:rsidR="00686683" w:rsidRPr="00686683" w:rsidRDefault="0092253D" w:rsidP="00CF4012">
            <w:pPr>
              <w:rPr>
                <w:rFonts w:ascii="Arial" w:hAnsi="Arial" w:cs="Arial"/>
                <w:sz w:val="20"/>
              </w:rPr>
            </w:pPr>
            <w:r>
              <w:rPr>
                <w:rFonts w:ascii="Arial" w:hAnsi="Arial" w:cs="Arial"/>
                <w:noProof/>
                <w:sz w:val="20"/>
                <w:lang w:eastAsia="en-NZ"/>
              </w:rPr>
              <w:pict>
                <v:shape id="_x0000_s1031" type="#_x0000_t202" style="position:absolute;margin-left:107.4pt;margin-top:12.25pt;width:26.85pt;height:16.75pt;z-index:251663360;mso-position-horizontal-relative:text;mso-position-vertical-relative:text;mso-width-relative:margin;mso-height-relative:margin" stroked="f">
                  <v:fill opacity="0"/>
                  <v:textbox style="mso-next-textbox:#_x0000_s1031">
                    <w:txbxContent>
                      <w:p w:rsidR="00AF5A5B" w:rsidRPr="006F4C52" w:rsidRDefault="00AF5A5B" w:rsidP="005D3CC8">
                        <w:pPr>
                          <w:rPr>
                            <w:sz w:val="12"/>
                          </w:rPr>
                        </w:pPr>
                        <w:r w:rsidRPr="006F4C52">
                          <w:rPr>
                            <w:sz w:val="12"/>
                          </w:rPr>
                          <w:t>1:</w:t>
                        </w:r>
                        <w:r>
                          <w:rPr>
                            <w:sz w:val="12"/>
                          </w:rPr>
                          <w:t>2</w:t>
                        </w:r>
                      </w:p>
                    </w:txbxContent>
                  </v:textbox>
                </v:shape>
              </w:pict>
            </w:r>
            <w:r w:rsidRPr="0092253D">
              <w:rPr>
                <w:noProof/>
                <w:lang w:eastAsia="en-NZ"/>
              </w:rPr>
              <w:pict>
                <v:shape id="_x0000_s1035" type="#_x0000_t202" style="position:absolute;margin-left:183.65pt;margin-top:10.95pt;width:23.4pt;height:16.75pt;z-index:251667456;mso-position-horizontal-relative:text;mso-position-vertical-relative:text;mso-width-relative:margin;mso-height-relative:margin" stroked="f">
                  <v:fill opacity="0"/>
                  <v:textbox style="mso-next-textbox:#_x0000_s1035">
                    <w:txbxContent>
                      <w:p w:rsidR="00AF5A5B" w:rsidRPr="006F4C52" w:rsidRDefault="00AF5A5B" w:rsidP="005471A0">
                        <w:pPr>
                          <w:rPr>
                            <w:sz w:val="12"/>
                          </w:rPr>
                        </w:pPr>
                        <w:r w:rsidRPr="006F4C52">
                          <w:rPr>
                            <w:sz w:val="12"/>
                          </w:rPr>
                          <w:t>1:1</w:t>
                        </w:r>
                      </w:p>
                    </w:txbxContent>
                  </v:textbox>
                </v:shape>
              </w:pict>
            </w:r>
            <w:r w:rsidR="00D567DE">
              <w:rPr>
                <w:rFonts w:ascii="Arial" w:hAnsi="Arial" w:cs="Arial"/>
                <w:noProof/>
                <w:sz w:val="20"/>
                <w:lang w:eastAsia="en-NZ"/>
              </w:rPr>
              <w:drawing>
                <wp:inline distT="0" distB="0" distL="0" distR="0">
                  <wp:extent cx="2681280" cy="2681280"/>
                  <wp:effectExtent l="19050" t="0" r="477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srcRect/>
                          <a:stretch>
                            <a:fillRect/>
                          </a:stretch>
                        </pic:blipFill>
                        <pic:spPr bwMode="auto">
                          <a:xfrm>
                            <a:off x="0" y="0"/>
                            <a:ext cx="2681280" cy="2681280"/>
                          </a:xfrm>
                          <a:prstGeom prst="rect">
                            <a:avLst/>
                          </a:prstGeom>
                          <a:noFill/>
                          <a:ln w="9525">
                            <a:noFill/>
                            <a:miter lim="800000"/>
                            <a:headEnd/>
                            <a:tailEnd/>
                          </a:ln>
                        </pic:spPr>
                      </pic:pic>
                    </a:graphicData>
                  </a:graphic>
                </wp:inline>
              </w:drawing>
            </w:r>
          </w:p>
        </w:tc>
      </w:tr>
    </w:tbl>
    <w:p w:rsidR="004D2C0C" w:rsidRPr="004D2C0C" w:rsidRDefault="00A8047D" w:rsidP="004D2C0C">
      <w:pPr>
        <w:spacing w:before="120" w:after="240"/>
        <w:rPr>
          <w:rFonts w:ascii="Arial" w:hAnsi="Arial" w:cs="Arial"/>
          <w:sz w:val="16"/>
          <w:szCs w:val="16"/>
        </w:rPr>
      </w:pPr>
      <w:r w:rsidRPr="004D2C0C">
        <w:rPr>
          <w:rFonts w:ascii="Arial" w:hAnsi="Arial" w:cs="Arial"/>
          <w:sz w:val="16"/>
          <w:szCs w:val="16"/>
        </w:rPr>
        <w:t>Each figure includes a</w:t>
      </w:r>
      <w:r w:rsidR="00BF6DBF" w:rsidRPr="004D2C0C">
        <w:rPr>
          <w:rFonts w:ascii="Arial" w:hAnsi="Arial" w:cs="Arial"/>
          <w:sz w:val="16"/>
          <w:szCs w:val="16"/>
        </w:rPr>
        <w:t xml:space="preserve">ll </w:t>
      </w:r>
      <w:r w:rsidRPr="004D2C0C">
        <w:rPr>
          <w:rFonts w:ascii="Arial" w:hAnsi="Arial" w:cs="Arial"/>
          <w:sz w:val="16"/>
          <w:szCs w:val="16"/>
        </w:rPr>
        <w:t xml:space="preserve">data </w:t>
      </w:r>
      <w:r w:rsidR="00BF6DBF" w:rsidRPr="004D2C0C">
        <w:rPr>
          <w:rFonts w:ascii="Arial" w:hAnsi="Arial" w:cs="Arial"/>
          <w:sz w:val="16"/>
          <w:szCs w:val="16"/>
        </w:rPr>
        <w:t xml:space="preserve">for people aged in their twenties to forties from tables </w:t>
      </w:r>
      <w:r w:rsidR="00CB0195">
        <w:rPr>
          <w:rFonts w:ascii="Arial" w:hAnsi="Arial" w:cs="Arial"/>
          <w:sz w:val="16"/>
          <w:szCs w:val="16"/>
        </w:rPr>
        <w:t>3</w:t>
      </w:r>
      <w:r w:rsidR="00BF6DBF" w:rsidRPr="004D2C0C">
        <w:rPr>
          <w:rFonts w:ascii="Arial" w:hAnsi="Arial" w:cs="Arial"/>
          <w:sz w:val="16"/>
          <w:szCs w:val="16"/>
        </w:rPr>
        <w:t xml:space="preserve"> to </w:t>
      </w:r>
      <w:r w:rsidR="00CB0195">
        <w:rPr>
          <w:rFonts w:ascii="Arial" w:hAnsi="Arial" w:cs="Arial"/>
          <w:sz w:val="16"/>
          <w:szCs w:val="16"/>
        </w:rPr>
        <w:t>6</w:t>
      </w:r>
      <w:r w:rsidR="00BF6DBF" w:rsidRPr="004D2C0C">
        <w:rPr>
          <w:rFonts w:ascii="Arial" w:hAnsi="Arial" w:cs="Arial"/>
          <w:sz w:val="16"/>
          <w:szCs w:val="16"/>
        </w:rPr>
        <w:t xml:space="preserve">, including those cases where the difference in pre-study and </w:t>
      </w:r>
      <w:r w:rsidRPr="004D2C0C">
        <w:rPr>
          <w:rFonts w:ascii="Arial" w:hAnsi="Arial" w:cs="Arial"/>
          <w:sz w:val="16"/>
          <w:szCs w:val="16"/>
        </w:rPr>
        <w:t xml:space="preserve">expected </w:t>
      </w:r>
      <w:r w:rsidR="00BF6DBF" w:rsidRPr="004D2C0C">
        <w:rPr>
          <w:rFonts w:ascii="Arial" w:hAnsi="Arial" w:cs="Arial"/>
          <w:sz w:val="16"/>
          <w:szCs w:val="16"/>
        </w:rPr>
        <w:t xml:space="preserve">post-completion income </w:t>
      </w:r>
      <w:r w:rsidRPr="004D2C0C">
        <w:rPr>
          <w:rFonts w:ascii="Arial" w:hAnsi="Arial" w:cs="Arial"/>
          <w:sz w:val="16"/>
          <w:szCs w:val="16"/>
        </w:rPr>
        <w:t>was</w:t>
      </w:r>
      <w:r w:rsidR="00BF6DBF" w:rsidRPr="004D2C0C">
        <w:rPr>
          <w:rFonts w:ascii="Arial" w:hAnsi="Arial" w:cs="Arial"/>
          <w:sz w:val="16"/>
          <w:szCs w:val="16"/>
        </w:rPr>
        <w:t xml:space="preserve"> not statistically different. </w:t>
      </w:r>
      <w:r w:rsidR="004D2C0C" w:rsidRPr="004D2C0C">
        <w:rPr>
          <w:rFonts w:ascii="Arial" w:hAnsi="Arial" w:cs="Arial"/>
          <w:sz w:val="16"/>
          <w:szCs w:val="16"/>
        </w:rPr>
        <w:br/>
        <w:t xml:space="preserve">Source: Statistics New Zealand, Integrated Data Infrastructure, Ministry of Education interpretation. </w:t>
      </w:r>
    </w:p>
    <w:p w:rsidR="002B0564" w:rsidRDefault="00347B15" w:rsidP="00A46453">
      <w:pPr>
        <w:pStyle w:val="BodyText"/>
      </w:pPr>
      <w:r>
        <w:t xml:space="preserve">These results show that </w:t>
      </w:r>
      <w:r w:rsidR="00A46453">
        <w:t xml:space="preserve">while it is self-evident that people with </w:t>
      </w:r>
      <w:r w:rsidR="002B0564">
        <w:t>post-completion</w:t>
      </w:r>
      <w:r w:rsidR="00A46453">
        <w:t xml:space="preserve"> incomes at the 25</w:t>
      </w:r>
      <w:r w:rsidR="00A46453" w:rsidRPr="00B0444D">
        <w:rPr>
          <w:vertAlign w:val="superscript"/>
        </w:rPr>
        <w:t>th</w:t>
      </w:r>
      <w:r w:rsidR="00A46453">
        <w:t xml:space="preserve"> percentile have generally lower incomes than other people, their </w:t>
      </w:r>
      <w:r w:rsidR="002B0564">
        <w:t>pre-study</w:t>
      </w:r>
      <w:r w:rsidR="00A46453">
        <w:t xml:space="preserve"> incomes </w:t>
      </w:r>
      <w:r w:rsidR="002B0564">
        <w:t xml:space="preserve">were already </w:t>
      </w:r>
      <w:r w:rsidR="00A46453">
        <w:t xml:space="preserve">at the lower end of the </w:t>
      </w:r>
      <w:r w:rsidR="002B0564">
        <w:t>pre-study</w:t>
      </w:r>
      <w:r w:rsidR="00A46453">
        <w:t xml:space="preserve"> income distributions.</w:t>
      </w:r>
    </w:p>
    <w:p w:rsidR="002B0564" w:rsidRDefault="002B0564" w:rsidP="00A46453">
      <w:pPr>
        <w:pStyle w:val="BodyText"/>
      </w:pPr>
      <w:r>
        <w:t xml:space="preserve">The other result is that for the lower-level qualifications, there is a far smaller change in </w:t>
      </w:r>
      <w:r w:rsidR="00347B15">
        <w:t>in</w:t>
      </w:r>
      <w:r>
        <w:t xml:space="preserve">come after graduating. This is seen by the points lying close to the 1:1 reference line in the </w:t>
      </w:r>
      <w:r w:rsidR="00747472">
        <w:t>panels in Figure 4</w:t>
      </w:r>
      <w:r>
        <w:t xml:space="preserve">. The distribution of points for diplomas, and especially </w:t>
      </w:r>
      <w:proofErr w:type="spellStart"/>
      <w:proofErr w:type="gramStart"/>
      <w:r>
        <w:t>bachelors</w:t>
      </w:r>
      <w:proofErr w:type="spellEnd"/>
      <w:proofErr w:type="gramEnd"/>
      <w:r>
        <w:t xml:space="preserve"> degrees, show many more instances where the change</w:t>
      </w:r>
      <w:r w:rsidR="00347B15">
        <w:t xml:space="preserve"> between the pre-study and post-completion incomes</w:t>
      </w:r>
      <w:r>
        <w:t xml:space="preserve"> is double or more. So the reason graduate incomes are below the repayment threshold is that the</w:t>
      </w:r>
      <w:r w:rsidR="00F831DD">
        <w:t>re is virtually no income</w:t>
      </w:r>
      <w:r>
        <w:t xml:space="preserve"> </w:t>
      </w:r>
      <w:r w:rsidR="00F831DD">
        <w:t>benefit from completing a lower-level qualifications, so people with incomes</w:t>
      </w:r>
      <w:r w:rsidR="00347B15">
        <w:t xml:space="preserve"> below the repayment threshold</w:t>
      </w:r>
      <w:r w:rsidR="006347A7">
        <w:t xml:space="preserve"> </w:t>
      </w:r>
      <w:r w:rsidR="00F831DD">
        <w:t xml:space="preserve">remain below </w:t>
      </w:r>
      <w:r w:rsidR="006347A7">
        <w:t>the</w:t>
      </w:r>
      <w:r w:rsidR="00F831DD">
        <w:t xml:space="preserve"> threshold.</w:t>
      </w:r>
    </w:p>
    <w:p w:rsidR="00F831DD" w:rsidRDefault="00F831DD" w:rsidP="00CE5E8F">
      <w:pPr>
        <w:pStyle w:val="BodyText"/>
      </w:pPr>
      <w:r>
        <w:lastRenderedPageBreak/>
        <w:t xml:space="preserve">This is seen by considering the points in the </w:t>
      </w:r>
      <w:r w:rsidR="00CE5E8F">
        <w:t xml:space="preserve">area bounded by the </w:t>
      </w:r>
      <w:r w:rsidR="00D567DE">
        <w:t xml:space="preserve">$18,148 </w:t>
      </w:r>
      <w:r w:rsidR="006F5491">
        <w:t>reference</w:t>
      </w:r>
      <w:r w:rsidR="00925719">
        <w:t xml:space="preserve"> lines</w:t>
      </w:r>
      <w:r w:rsidR="00BC0729">
        <w:t xml:space="preserve"> (which is the 2008 repayment threshold)</w:t>
      </w:r>
      <w:r w:rsidR="00CE5E8F">
        <w:t xml:space="preserve">. </w:t>
      </w:r>
      <w:r>
        <w:t>As Table 7 also shows, most of these points are for graduate incomes at the 25</w:t>
      </w:r>
      <w:r w:rsidRPr="00F831DD">
        <w:rPr>
          <w:vertAlign w:val="superscript"/>
        </w:rPr>
        <w:t>th</w:t>
      </w:r>
      <w:r>
        <w:t xml:space="preserve"> percentile. Only for </w:t>
      </w:r>
      <w:proofErr w:type="spellStart"/>
      <w:proofErr w:type="gramStart"/>
      <w:r>
        <w:t>bachelors</w:t>
      </w:r>
      <w:proofErr w:type="spellEnd"/>
      <w:proofErr w:type="gramEnd"/>
      <w:r>
        <w:t xml:space="preserve"> degrees do people with low</w:t>
      </w:r>
      <w:r w:rsidR="006347A7">
        <w:t xml:space="preserve"> pre-study</w:t>
      </w:r>
      <w:r>
        <w:t xml:space="preserve"> incomes have graduate incomes above the repayment threshold.</w:t>
      </w:r>
    </w:p>
    <w:p w:rsidR="00906441" w:rsidRDefault="00906441" w:rsidP="00906441">
      <w:pPr>
        <w:pStyle w:val="BodyText"/>
      </w:pPr>
      <w:r>
        <w:t xml:space="preserve">Table </w:t>
      </w:r>
      <w:r w:rsidR="009325FA">
        <w:t>7</w:t>
      </w:r>
      <w:r>
        <w:t xml:space="preserve"> </w:t>
      </w:r>
      <w:r w:rsidR="006347A7">
        <w:t xml:space="preserve">summarises the results from Tables 3 to 6 </w:t>
      </w:r>
      <w:r>
        <w:t xml:space="preserve">for </w:t>
      </w:r>
      <w:r w:rsidR="006347A7">
        <w:t>student loan borrowers</w:t>
      </w:r>
      <w:r>
        <w:t xml:space="preserve">. This ‘hieroglyphic’ </w:t>
      </w:r>
      <w:r w:rsidR="00CE7C93">
        <w:t>representation</w:t>
      </w:r>
      <w:r>
        <w:t xml:space="preserve"> uses symbols to indicate whether or not someone’s income reaches the repayment threshold </w:t>
      </w:r>
      <w:r w:rsidR="00BC22AE">
        <w:t>one year after</w:t>
      </w:r>
      <w:r>
        <w:t xml:space="preserve"> completing a particular level of qualification, whether they marginally reach</w:t>
      </w:r>
      <w:r w:rsidR="00CE7C93">
        <w:t>ed</w:t>
      </w:r>
      <w:r>
        <w:t xml:space="preserve"> that threshold, that is, their income </w:t>
      </w:r>
      <w:r w:rsidR="00BC22AE">
        <w:t xml:space="preserve">one year </w:t>
      </w:r>
      <w:r>
        <w:t>after completing is at least 10 per cent above the threshold, or whether someone</w:t>
      </w:r>
      <w:r w:rsidR="006347A7">
        <w:t xml:space="preserve">’s pre-study income was already </w:t>
      </w:r>
      <w:r>
        <w:t xml:space="preserve">above the repayment threshold. Any </w:t>
      </w:r>
      <w:r w:rsidR="00B44BC5">
        <w:t>statistically in</w:t>
      </w:r>
      <w:r w:rsidR="000D6C6A">
        <w:t xml:space="preserve">significant </w:t>
      </w:r>
      <w:r>
        <w:t>change</w:t>
      </w:r>
      <w:r w:rsidR="000D6C6A">
        <w:t>s</w:t>
      </w:r>
      <w:r>
        <w:t xml:space="preserve"> in income </w:t>
      </w:r>
      <w:r w:rsidR="000D6C6A">
        <w:t>were</w:t>
      </w:r>
      <w:r>
        <w:t xml:space="preserve"> </w:t>
      </w:r>
      <w:r w:rsidR="006F5491">
        <w:t>regarded as being zero</w:t>
      </w:r>
      <w:r>
        <w:t>.</w:t>
      </w:r>
      <w:r w:rsidR="00EC20D0">
        <w:t xml:space="preserve"> </w:t>
      </w:r>
      <w:r w:rsidR="002B70B3">
        <w:t xml:space="preserve">As we described above, </w:t>
      </w:r>
      <w:r w:rsidR="00EC20D0">
        <w:t xml:space="preserve">the incomes of graduates with progressively lower-level qualifications need to be higher in the post-completion income distribution for their group to be above the repayment threshold. </w:t>
      </w:r>
      <w:r w:rsidR="002B70B3">
        <w:t>Thus, for graduates with certificates at levels 1 to 3, most groups with incomes at the 25</w:t>
      </w:r>
      <w:r w:rsidR="002B70B3" w:rsidRPr="002B70B3">
        <w:rPr>
          <w:vertAlign w:val="superscript"/>
        </w:rPr>
        <w:t>th</w:t>
      </w:r>
      <w:r w:rsidR="002B70B3">
        <w:t xml:space="preserve"> percentile don’t reach the repayment threshold, but n</w:t>
      </w:r>
      <w:r w:rsidR="00C116F0">
        <w:t xml:space="preserve">early all </w:t>
      </w:r>
      <w:proofErr w:type="gramStart"/>
      <w:r w:rsidR="00C116F0">
        <w:t>bachelors</w:t>
      </w:r>
      <w:proofErr w:type="gramEnd"/>
      <w:r w:rsidR="00C116F0">
        <w:t xml:space="preserve"> degree graduates with incomes at this level for their group reach the repayment threshold.</w:t>
      </w:r>
    </w:p>
    <w:p w:rsidR="00906441" w:rsidRDefault="00906441" w:rsidP="00906441">
      <w:pPr>
        <w:pStyle w:val="Caption"/>
        <w:rPr>
          <w:b w:val="0"/>
          <w:sz w:val="16"/>
        </w:rPr>
      </w:pPr>
      <w:proofErr w:type="gramStart"/>
      <w:r w:rsidRPr="004D2C0C">
        <w:rPr>
          <w:sz w:val="16"/>
        </w:rPr>
        <w:t xml:space="preserve">Table </w:t>
      </w:r>
      <w:r w:rsidR="0092253D" w:rsidRPr="004D2C0C">
        <w:rPr>
          <w:sz w:val="16"/>
        </w:rPr>
        <w:fldChar w:fldCharType="begin"/>
      </w:r>
      <w:r w:rsidR="008E462E" w:rsidRPr="004D2C0C">
        <w:rPr>
          <w:sz w:val="16"/>
        </w:rPr>
        <w:instrText xml:space="preserve"> SEQ Table \* ARABIC </w:instrText>
      </w:r>
      <w:r w:rsidR="0092253D" w:rsidRPr="004D2C0C">
        <w:rPr>
          <w:sz w:val="16"/>
        </w:rPr>
        <w:fldChar w:fldCharType="separate"/>
      </w:r>
      <w:r w:rsidR="00D15EF8">
        <w:rPr>
          <w:noProof/>
          <w:sz w:val="16"/>
        </w:rPr>
        <w:t>7</w:t>
      </w:r>
      <w:r w:rsidR="0092253D" w:rsidRPr="004D2C0C">
        <w:rPr>
          <w:sz w:val="16"/>
        </w:rPr>
        <w:fldChar w:fldCharType="end"/>
      </w:r>
      <w:r w:rsidRPr="004D2C0C">
        <w:rPr>
          <w:sz w:val="16"/>
        </w:rPr>
        <w:t>.</w:t>
      </w:r>
      <w:proofErr w:type="gramEnd"/>
      <w:r w:rsidRPr="004D2C0C">
        <w:rPr>
          <w:sz w:val="16"/>
        </w:rPr>
        <w:t xml:space="preserve"> </w:t>
      </w:r>
      <w:r w:rsidRPr="004D2C0C">
        <w:rPr>
          <w:b w:val="0"/>
          <w:sz w:val="16"/>
        </w:rPr>
        <w:t xml:space="preserve">Indicators showing whether someone’s income </w:t>
      </w:r>
      <w:r w:rsidR="00CE7C7B">
        <w:rPr>
          <w:b w:val="0"/>
          <w:sz w:val="16"/>
        </w:rPr>
        <w:t xml:space="preserve">across the post-completion income distribution </w:t>
      </w:r>
      <w:r w:rsidRPr="004D2C0C">
        <w:rPr>
          <w:b w:val="0"/>
          <w:sz w:val="16"/>
        </w:rPr>
        <w:t xml:space="preserve">reaches the student loan repayment threshold after completing a tertiary qualification (for those with a student loan), </w:t>
      </w:r>
      <w:r w:rsidR="00CE7C7B">
        <w:rPr>
          <w:b w:val="0"/>
          <w:sz w:val="16"/>
        </w:rPr>
        <w:t>by</w:t>
      </w:r>
      <w:r w:rsidRPr="004D2C0C">
        <w:rPr>
          <w:b w:val="0"/>
          <w:sz w:val="16"/>
        </w:rPr>
        <w:t xml:space="preserve"> level of qualification completed, age, gender, and benefit status</w:t>
      </w:r>
    </w:p>
    <w:tbl>
      <w:tblPr>
        <w:tblStyle w:val="TableGrid"/>
        <w:tblW w:w="75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tblPr>
      <w:tblGrid>
        <w:gridCol w:w="603"/>
        <w:gridCol w:w="811"/>
        <w:gridCol w:w="700"/>
        <w:gridCol w:w="454"/>
        <w:gridCol w:w="454"/>
        <w:gridCol w:w="455"/>
        <w:gridCol w:w="454"/>
        <w:gridCol w:w="454"/>
        <w:gridCol w:w="454"/>
        <w:gridCol w:w="454"/>
        <w:gridCol w:w="454"/>
        <w:gridCol w:w="454"/>
        <w:gridCol w:w="9"/>
        <w:gridCol w:w="445"/>
        <w:gridCol w:w="454"/>
        <w:gridCol w:w="464"/>
      </w:tblGrid>
      <w:tr w:rsidR="00D57541" w:rsidRPr="005B7A42" w:rsidTr="004B55B0">
        <w:trPr>
          <w:cantSplit/>
          <w:trHeight w:val="85"/>
        </w:trPr>
        <w:tc>
          <w:tcPr>
            <w:tcW w:w="603" w:type="dxa"/>
            <w:vMerge w:val="restart"/>
            <w:tcBorders>
              <w:top w:val="single" w:sz="4" w:space="0" w:color="auto"/>
            </w:tcBorders>
            <w:shd w:val="clear" w:color="auto" w:fill="DDD9C3" w:themeFill="background2" w:themeFillShade="E6"/>
            <w:vAlign w:val="bottom"/>
          </w:tcPr>
          <w:p w:rsidR="00D57541" w:rsidRPr="005B7A42" w:rsidRDefault="00D57541" w:rsidP="00D57541">
            <w:pPr>
              <w:pStyle w:val="BodyText"/>
              <w:spacing w:before="40" w:after="20" w:line="240" w:lineRule="auto"/>
              <w:jc w:val="center"/>
              <w:rPr>
                <w:rFonts w:ascii="Arial" w:hAnsi="Arial" w:cs="Arial"/>
                <w:sz w:val="16"/>
                <w:szCs w:val="18"/>
              </w:rPr>
            </w:pPr>
            <w:r w:rsidRPr="005B7A42">
              <w:rPr>
                <w:rFonts w:ascii="Arial" w:hAnsi="Arial" w:cs="Arial"/>
                <w:sz w:val="16"/>
                <w:szCs w:val="18"/>
              </w:rPr>
              <w:t>Age</w:t>
            </w:r>
            <w:r>
              <w:rPr>
                <w:rFonts w:ascii="Arial" w:hAnsi="Arial" w:cs="Arial"/>
                <w:sz w:val="16"/>
                <w:szCs w:val="18"/>
              </w:rPr>
              <w:t xml:space="preserve"> in 1999</w:t>
            </w:r>
          </w:p>
        </w:tc>
        <w:tc>
          <w:tcPr>
            <w:tcW w:w="811" w:type="dxa"/>
            <w:vMerge w:val="restart"/>
            <w:tcBorders>
              <w:top w:val="single" w:sz="4" w:space="0" w:color="auto"/>
            </w:tcBorders>
            <w:shd w:val="clear" w:color="auto" w:fill="DDD9C3" w:themeFill="background2" w:themeFillShade="E6"/>
            <w:vAlign w:val="bottom"/>
          </w:tcPr>
          <w:p w:rsidR="00D57541" w:rsidRPr="005B7A42" w:rsidRDefault="00D57541" w:rsidP="00D57541">
            <w:pPr>
              <w:pStyle w:val="BodyText"/>
              <w:spacing w:before="40" w:after="20" w:line="240" w:lineRule="auto"/>
              <w:jc w:val="left"/>
              <w:rPr>
                <w:rFonts w:ascii="Arial" w:hAnsi="Arial" w:cs="Arial"/>
                <w:sz w:val="16"/>
                <w:szCs w:val="18"/>
              </w:rPr>
            </w:pPr>
            <w:r w:rsidRPr="005B7A42">
              <w:rPr>
                <w:rFonts w:ascii="Arial" w:hAnsi="Arial" w:cs="Arial"/>
                <w:sz w:val="16"/>
                <w:szCs w:val="18"/>
              </w:rPr>
              <w:t>Gender</w:t>
            </w:r>
          </w:p>
        </w:tc>
        <w:tc>
          <w:tcPr>
            <w:tcW w:w="700" w:type="dxa"/>
            <w:vMerge w:val="restart"/>
            <w:tcBorders>
              <w:top w:val="single" w:sz="4" w:space="0" w:color="auto"/>
              <w:right w:val="single" w:sz="4" w:space="0" w:color="auto"/>
            </w:tcBorders>
            <w:shd w:val="clear" w:color="auto" w:fill="DDD9C3" w:themeFill="background2" w:themeFillShade="E6"/>
            <w:vAlign w:val="bottom"/>
          </w:tcPr>
          <w:p w:rsidR="00D57541" w:rsidRPr="005B7A42" w:rsidRDefault="00D57541" w:rsidP="00D57541">
            <w:pPr>
              <w:pStyle w:val="BodyText"/>
              <w:spacing w:before="40" w:after="20" w:line="240" w:lineRule="auto"/>
              <w:jc w:val="center"/>
              <w:rPr>
                <w:rFonts w:ascii="Arial" w:hAnsi="Arial" w:cs="Arial"/>
                <w:sz w:val="16"/>
                <w:szCs w:val="18"/>
              </w:rPr>
            </w:pPr>
            <w:r w:rsidRPr="005B7A42">
              <w:rPr>
                <w:rFonts w:ascii="Arial" w:hAnsi="Arial" w:cs="Arial"/>
                <w:sz w:val="16"/>
                <w:szCs w:val="18"/>
              </w:rPr>
              <w:t>Was on benefit</w:t>
            </w:r>
            <w:r w:rsidR="006347A7">
              <w:rPr>
                <w:rFonts w:ascii="Arial" w:hAnsi="Arial" w:cs="Arial"/>
                <w:sz w:val="16"/>
                <w:szCs w:val="18"/>
              </w:rPr>
              <w:t xml:space="preserve"> prior to study</w:t>
            </w:r>
          </w:p>
        </w:tc>
        <w:tc>
          <w:tcPr>
            <w:tcW w:w="5459" w:type="dxa"/>
            <w:gridSpan w:val="13"/>
            <w:tcBorders>
              <w:top w:val="single" w:sz="4" w:space="0" w:color="auto"/>
              <w:left w:val="single" w:sz="4" w:space="0" w:color="auto"/>
              <w:bottom w:val="single" w:sz="4" w:space="0" w:color="auto"/>
            </w:tcBorders>
            <w:shd w:val="clear" w:color="auto" w:fill="DDD9C3" w:themeFill="background2" w:themeFillShade="E6"/>
            <w:vAlign w:val="center"/>
          </w:tcPr>
          <w:p w:rsidR="00D57541" w:rsidRDefault="00D57541" w:rsidP="004B55B0">
            <w:pPr>
              <w:pStyle w:val="BodyText"/>
              <w:spacing w:before="40" w:after="20" w:line="240" w:lineRule="auto"/>
              <w:jc w:val="center"/>
              <w:rPr>
                <w:rFonts w:ascii="Arial" w:hAnsi="Arial" w:cs="Arial"/>
                <w:sz w:val="16"/>
                <w:szCs w:val="18"/>
              </w:rPr>
            </w:pPr>
            <w:r>
              <w:rPr>
                <w:rFonts w:ascii="Arial" w:hAnsi="Arial" w:cs="Arial"/>
                <w:sz w:val="16"/>
                <w:szCs w:val="18"/>
              </w:rPr>
              <w:t>Level of qualification completed</w:t>
            </w:r>
          </w:p>
        </w:tc>
      </w:tr>
      <w:tr w:rsidR="00D57541" w:rsidRPr="005B7A42" w:rsidTr="004B55B0">
        <w:trPr>
          <w:cantSplit/>
          <w:trHeight w:val="85"/>
        </w:trPr>
        <w:tc>
          <w:tcPr>
            <w:tcW w:w="603" w:type="dxa"/>
            <w:vMerge/>
            <w:shd w:val="clear" w:color="auto" w:fill="DDD9C3" w:themeFill="background2" w:themeFillShade="E6"/>
            <w:vAlign w:val="bottom"/>
          </w:tcPr>
          <w:p w:rsidR="00D57541" w:rsidRPr="005B7A42" w:rsidRDefault="00D57541" w:rsidP="004B55B0">
            <w:pPr>
              <w:pStyle w:val="BodyText"/>
              <w:spacing w:before="40" w:after="20"/>
              <w:jc w:val="center"/>
              <w:rPr>
                <w:rFonts w:ascii="Arial" w:hAnsi="Arial" w:cs="Arial"/>
                <w:sz w:val="16"/>
                <w:szCs w:val="18"/>
              </w:rPr>
            </w:pPr>
          </w:p>
        </w:tc>
        <w:tc>
          <w:tcPr>
            <w:tcW w:w="811" w:type="dxa"/>
            <w:vMerge/>
            <w:shd w:val="clear" w:color="auto" w:fill="DDD9C3" w:themeFill="background2" w:themeFillShade="E6"/>
            <w:vAlign w:val="bottom"/>
          </w:tcPr>
          <w:p w:rsidR="00D57541" w:rsidRPr="005B7A42" w:rsidRDefault="00D57541" w:rsidP="004B55B0">
            <w:pPr>
              <w:pStyle w:val="BodyText"/>
              <w:spacing w:before="40" w:after="20"/>
              <w:jc w:val="left"/>
              <w:rPr>
                <w:rFonts w:ascii="Arial" w:hAnsi="Arial" w:cs="Arial"/>
                <w:sz w:val="16"/>
                <w:szCs w:val="18"/>
              </w:rPr>
            </w:pPr>
          </w:p>
        </w:tc>
        <w:tc>
          <w:tcPr>
            <w:tcW w:w="700" w:type="dxa"/>
            <w:vMerge/>
            <w:tcBorders>
              <w:right w:val="single" w:sz="4" w:space="0" w:color="auto"/>
            </w:tcBorders>
            <w:shd w:val="clear" w:color="auto" w:fill="DDD9C3" w:themeFill="background2" w:themeFillShade="E6"/>
            <w:vAlign w:val="bottom"/>
          </w:tcPr>
          <w:p w:rsidR="00D57541" w:rsidRPr="005B7A42" w:rsidRDefault="00D57541" w:rsidP="004B55B0">
            <w:pPr>
              <w:pStyle w:val="BodyText"/>
              <w:spacing w:before="40" w:after="20"/>
              <w:jc w:val="center"/>
              <w:rPr>
                <w:rFonts w:ascii="Arial" w:hAnsi="Arial" w:cs="Arial"/>
                <w:sz w:val="16"/>
                <w:szCs w:val="18"/>
              </w:rPr>
            </w:pPr>
          </w:p>
        </w:tc>
        <w:tc>
          <w:tcPr>
            <w:tcW w:w="1363"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D57541" w:rsidRDefault="00D57541" w:rsidP="004B55B0">
            <w:pPr>
              <w:pStyle w:val="BodyText"/>
              <w:spacing w:before="40" w:after="20" w:line="240" w:lineRule="auto"/>
              <w:jc w:val="center"/>
              <w:rPr>
                <w:rFonts w:ascii="Arial" w:hAnsi="Arial" w:cs="Arial"/>
                <w:sz w:val="16"/>
                <w:szCs w:val="18"/>
              </w:rPr>
            </w:pPr>
            <w:r>
              <w:rPr>
                <w:rFonts w:ascii="Arial" w:hAnsi="Arial" w:cs="Arial"/>
                <w:sz w:val="16"/>
                <w:szCs w:val="18"/>
              </w:rPr>
              <w:t>Certificates level 1 to 3</w:t>
            </w:r>
          </w:p>
        </w:tc>
        <w:tc>
          <w:tcPr>
            <w:tcW w:w="1362"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vAlign w:val="bottom"/>
          </w:tcPr>
          <w:p w:rsidR="00D57541" w:rsidRDefault="00D57541" w:rsidP="004B55B0">
            <w:pPr>
              <w:pStyle w:val="BodyText"/>
              <w:spacing w:before="40" w:after="20" w:line="240" w:lineRule="auto"/>
              <w:jc w:val="center"/>
              <w:rPr>
                <w:rFonts w:ascii="Arial" w:hAnsi="Arial" w:cs="Arial"/>
                <w:sz w:val="16"/>
                <w:szCs w:val="18"/>
              </w:rPr>
            </w:pPr>
            <w:r>
              <w:rPr>
                <w:rFonts w:ascii="Arial" w:hAnsi="Arial" w:cs="Arial"/>
                <w:sz w:val="16"/>
                <w:szCs w:val="18"/>
              </w:rPr>
              <w:t>Certificates level 4</w:t>
            </w:r>
          </w:p>
        </w:tc>
        <w:tc>
          <w:tcPr>
            <w:tcW w:w="1371" w:type="dxa"/>
            <w:gridSpan w:val="4"/>
            <w:tcBorders>
              <w:top w:val="single" w:sz="4" w:space="0" w:color="auto"/>
              <w:left w:val="single" w:sz="4" w:space="0" w:color="auto"/>
              <w:bottom w:val="single" w:sz="4" w:space="0" w:color="auto"/>
            </w:tcBorders>
            <w:shd w:val="clear" w:color="auto" w:fill="DDD9C3" w:themeFill="background2" w:themeFillShade="E6"/>
            <w:vAlign w:val="bottom"/>
          </w:tcPr>
          <w:p w:rsidR="00D57541" w:rsidRDefault="00D57541" w:rsidP="004B55B0">
            <w:pPr>
              <w:pStyle w:val="BodyText"/>
              <w:spacing w:before="40" w:after="20" w:line="240" w:lineRule="auto"/>
              <w:jc w:val="center"/>
              <w:rPr>
                <w:rFonts w:ascii="Arial" w:hAnsi="Arial" w:cs="Arial"/>
                <w:sz w:val="16"/>
                <w:szCs w:val="18"/>
              </w:rPr>
            </w:pPr>
            <w:r>
              <w:rPr>
                <w:rFonts w:ascii="Arial" w:hAnsi="Arial" w:cs="Arial"/>
                <w:sz w:val="16"/>
                <w:szCs w:val="18"/>
              </w:rPr>
              <w:t>Diplomas</w:t>
            </w:r>
          </w:p>
        </w:tc>
        <w:tc>
          <w:tcPr>
            <w:tcW w:w="1363" w:type="dxa"/>
            <w:gridSpan w:val="3"/>
            <w:tcBorders>
              <w:top w:val="single" w:sz="4" w:space="0" w:color="auto"/>
              <w:left w:val="single" w:sz="4" w:space="0" w:color="auto"/>
              <w:bottom w:val="single" w:sz="4" w:space="0" w:color="auto"/>
            </w:tcBorders>
            <w:shd w:val="clear" w:color="auto" w:fill="DDD9C3" w:themeFill="background2" w:themeFillShade="E6"/>
            <w:vAlign w:val="bottom"/>
          </w:tcPr>
          <w:p w:rsidR="00D57541" w:rsidRDefault="00D57541" w:rsidP="004B55B0">
            <w:pPr>
              <w:pStyle w:val="BodyText"/>
              <w:spacing w:before="40" w:after="20" w:line="240" w:lineRule="auto"/>
              <w:jc w:val="center"/>
              <w:rPr>
                <w:rFonts w:ascii="Arial" w:hAnsi="Arial" w:cs="Arial"/>
                <w:sz w:val="16"/>
                <w:szCs w:val="18"/>
              </w:rPr>
            </w:pPr>
            <w:r>
              <w:rPr>
                <w:rFonts w:ascii="Arial" w:hAnsi="Arial" w:cs="Arial"/>
                <w:sz w:val="16"/>
                <w:szCs w:val="18"/>
              </w:rPr>
              <w:t>Bachelor degrees</w:t>
            </w:r>
          </w:p>
        </w:tc>
      </w:tr>
      <w:tr w:rsidR="00D57541" w:rsidRPr="005B7A42" w:rsidTr="004B55B0">
        <w:trPr>
          <w:cantSplit/>
          <w:trHeight w:val="286"/>
        </w:trPr>
        <w:tc>
          <w:tcPr>
            <w:tcW w:w="603" w:type="dxa"/>
            <w:vMerge/>
            <w:shd w:val="clear" w:color="auto" w:fill="DDD9C3" w:themeFill="background2" w:themeFillShade="E6"/>
            <w:vAlign w:val="bottom"/>
          </w:tcPr>
          <w:p w:rsidR="00D57541" w:rsidRPr="005B7A42" w:rsidRDefault="00D57541" w:rsidP="004B55B0">
            <w:pPr>
              <w:pStyle w:val="BodyText"/>
              <w:spacing w:before="40" w:after="20"/>
              <w:jc w:val="center"/>
              <w:rPr>
                <w:rFonts w:ascii="Arial" w:hAnsi="Arial" w:cs="Arial"/>
                <w:sz w:val="16"/>
                <w:szCs w:val="18"/>
              </w:rPr>
            </w:pPr>
          </w:p>
        </w:tc>
        <w:tc>
          <w:tcPr>
            <w:tcW w:w="811" w:type="dxa"/>
            <w:vMerge/>
            <w:shd w:val="clear" w:color="auto" w:fill="DDD9C3" w:themeFill="background2" w:themeFillShade="E6"/>
            <w:vAlign w:val="bottom"/>
          </w:tcPr>
          <w:p w:rsidR="00D57541" w:rsidRPr="005B7A42" w:rsidRDefault="00D57541" w:rsidP="004B55B0">
            <w:pPr>
              <w:pStyle w:val="BodyText"/>
              <w:spacing w:before="40" w:after="20"/>
              <w:jc w:val="left"/>
              <w:rPr>
                <w:rFonts w:ascii="Arial" w:hAnsi="Arial" w:cs="Arial"/>
                <w:sz w:val="16"/>
                <w:szCs w:val="18"/>
              </w:rPr>
            </w:pPr>
          </w:p>
        </w:tc>
        <w:tc>
          <w:tcPr>
            <w:tcW w:w="700" w:type="dxa"/>
            <w:vMerge/>
            <w:tcBorders>
              <w:right w:val="single" w:sz="4" w:space="0" w:color="auto"/>
            </w:tcBorders>
            <w:shd w:val="clear" w:color="auto" w:fill="DDD9C3" w:themeFill="background2" w:themeFillShade="E6"/>
            <w:vAlign w:val="bottom"/>
          </w:tcPr>
          <w:p w:rsidR="00D57541" w:rsidRPr="005B7A42" w:rsidRDefault="00D57541" w:rsidP="004B55B0">
            <w:pPr>
              <w:pStyle w:val="BodyText"/>
              <w:spacing w:before="40" w:after="20"/>
              <w:jc w:val="center"/>
              <w:rPr>
                <w:rFonts w:ascii="Arial" w:hAnsi="Arial" w:cs="Arial"/>
                <w:sz w:val="16"/>
                <w:szCs w:val="18"/>
              </w:rPr>
            </w:pPr>
          </w:p>
        </w:tc>
        <w:tc>
          <w:tcPr>
            <w:tcW w:w="454" w:type="dxa"/>
            <w:tcBorders>
              <w:top w:val="single" w:sz="4" w:space="0" w:color="auto"/>
              <w:left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p>
        </w:tc>
        <w:tc>
          <w:tcPr>
            <w:tcW w:w="4541" w:type="dxa"/>
            <w:gridSpan w:val="11"/>
            <w:tcBorders>
              <w:top w:val="single" w:sz="4" w:space="0" w:color="auto"/>
              <w:bottom w:val="single" w:sz="4" w:space="0" w:color="auto"/>
            </w:tcBorders>
            <w:shd w:val="clear" w:color="auto" w:fill="DDD9C3" w:themeFill="background2" w:themeFillShade="E6"/>
            <w:vAlign w:val="center"/>
          </w:tcPr>
          <w:p w:rsidR="00D57541" w:rsidRDefault="00D57541" w:rsidP="004B55B0">
            <w:pPr>
              <w:pStyle w:val="BodyText"/>
              <w:spacing w:after="0" w:line="240" w:lineRule="auto"/>
              <w:ind w:left="57"/>
              <w:jc w:val="center"/>
              <w:rPr>
                <w:rFonts w:ascii="Arial" w:hAnsi="Arial" w:cs="Arial"/>
                <w:sz w:val="16"/>
                <w:szCs w:val="18"/>
              </w:rPr>
            </w:pPr>
            <w:r>
              <w:rPr>
                <w:rFonts w:ascii="Arial" w:hAnsi="Arial" w:cs="Arial"/>
                <w:sz w:val="16"/>
                <w:szCs w:val="18"/>
              </w:rPr>
              <w:t>Percentile of post-completion income</w:t>
            </w:r>
          </w:p>
        </w:tc>
        <w:tc>
          <w:tcPr>
            <w:tcW w:w="464" w:type="dxa"/>
            <w:tcBorders>
              <w:top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p>
        </w:tc>
      </w:tr>
      <w:tr w:rsidR="00D57541" w:rsidRPr="005B7A42" w:rsidTr="00D57541">
        <w:trPr>
          <w:cantSplit/>
          <w:trHeight w:val="500"/>
        </w:trPr>
        <w:tc>
          <w:tcPr>
            <w:tcW w:w="603" w:type="dxa"/>
            <w:vMerge/>
            <w:tcBorders>
              <w:bottom w:val="single" w:sz="4" w:space="0" w:color="auto"/>
            </w:tcBorders>
            <w:shd w:val="clear" w:color="auto" w:fill="DDD9C3" w:themeFill="background2" w:themeFillShade="E6"/>
            <w:vAlign w:val="bottom"/>
          </w:tcPr>
          <w:p w:rsidR="00D57541" w:rsidRPr="005B7A42" w:rsidRDefault="00D57541" w:rsidP="004B55B0">
            <w:pPr>
              <w:pStyle w:val="BodyText"/>
              <w:spacing w:before="40" w:after="20" w:line="240" w:lineRule="auto"/>
              <w:jc w:val="center"/>
              <w:rPr>
                <w:rFonts w:ascii="Arial" w:hAnsi="Arial" w:cs="Arial"/>
                <w:sz w:val="16"/>
                <w:szCs w:val="18"/>
              </w:rPr>
            </w:pPr>
          </w:p>
        </w:tc>
        <w:tc>
          <w:tcPr>
            <w:tcW w:w="811" w:type="dxa"/>
            <w:vMerge/>
            <w:tcBorders>
              <w:bottom w:val="single" w:sz="4" w:space="0" w:color="auto"/>
            </w:tcBorders>
            <w:shd w:val="clear" w:color="auto" w:fill="DDD9C3" w:themeFill="background2" w:themeFillShade="E6"/>
            <w:vAlign w:val="bottom"/>
          </w:tcPr>
          <w:p w:rsidR="00D57541" w:rsidRPr="005B7A42" w:rsidRDefault="00D57541" w:rsidP="004B55B0">
            <w:pPr>
              <w:pStyle w:val="BodyText"/>
              <w:spacing w:before="40" w:after="20" w:line="240" w:lineRule="auto"/>
              <w:jc w:val="left"/>
              <w:rPr>
                <w:rFonts w:ascii="Arial" w:hAnsi="Arial" w:cs="Arial"/>
                <w:sz w:val="16"/>
                <w:szCs w:val="18"/>
              </w:rPr>
            </w:pPr>
          </w:p>
        </w:tc>
        <w:tc>
          <w:tcPr>
            <w:tcW w:w="700" w:type="dxa"/>
            <w:vMerge/>
            <w:tcBorders>
              <w:bottom w:val="single" w:sz="4" w:space="0" w:color="auto"/>
              <w:right w:val="single" w:sz="4" w:space="0" w:color="auto"/>
            </w:tcBorders>
            <w:shd w:val="clear" w:color="auto" w:fill="DDD9C3" w:themeFill="background2" w:themeFillShade="E6"/>
            <w:vAlign w:val="bottom"/>
          </w:tcPr>
          <w:p w:rsidR="00D57541" w:rsidRPr="005B7A42" w:rsidRDefault="00D57541" w:rsidP="004B55B0">
            <w:pPr>
              <w:pStyle w:val="BodyText"/>
              <w:spacing w:before="40" w:after="20" w:line="240" w:lineRule="auto"/>
              <w:jc w:val="center"/>
              <w:rPr>
                <w:rFonts w:ascii="Arial" w:hAnsi="Arial" w:cs="Arial"/>
                <w:sz w:val="16"/>
                <w:szCs w:val="18"/>
              </w:rPr>
            </w:pPr>
          </w:p>
        </w:tc>
        <w:tc>
          <w:tcPr>
            <w:tcW w:w="454" w:type="dxa"/>
            <w:tcBorders>
              <w:top w:val="single" w:sz="4" w:space="0" w:color="auto"/>
              <w:left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25</w:t>
            </w:r>
            <w:r w:rsidRPr="0047220A">
              <w:rPr>
                <w:rFonts w:ascii="Arial" w:hAnsi="Arial" w:cs="Arial"/>
                <w:sz w:val="16"/>
                <w:szCs w:val="18"/>
                <w:vertAlign w:val="superscript"/>
              </w:rPr>
              <w:t>th</w:t>
            </w:r>
          </w:p>
        </w:tc>
        <w:tc>
          <w:tcPr>
            <w:tcW w:w="454" w:type="dxa"/>
            <w:tcBorders>
              <w:top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50</w:t>
            </w:r>
            <w:r w:rsidRPr="0047220A">
              <w:rPr>
                <w:rFonts w:ascii="Arial" w:hAnsi="Arial" w:cs="Arial"/>
                <w:sz w:val="16"/>
                <w:szCs w:val="18"/>
                <w:vertAlign w:val="superscript"/>
              </w:rPr>
              <w:t>th</w:t>
            </w:r>
          </w:p>
        </w:tc>
        <w:tc>
          <w:tcPr>
            <w:tcW w:w="455" w:type="dxa"/>
            <w:tcBorders>
              <w:top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75</w:t>
            </w:r>
            <w:r w:rsidRPr="0047220A">
              <w:rPr>
                <w:rFonts w:ascii="Arial" w:hAnsi="Arial" w:cs="Arial"/>
                <w:sz w:val="16"/>
                <w:szCs w:val="18"/>
                <w:vertAlign w:val="superscript"/>
              </w:rPr>
              <w:t>th</w:t>
            </w:r>
          </w:p>
        </w:tc>
        <w:tc>
          <w:tcPr>
            <w:tcW w:w="454" w:type="dxa"/>
            <w:tcBorders>
              <w:top w:val="single" w:sz="4" w:space="0" w:color="auto"/>
              <w:left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25</w:t>
            </w:r>
            <w:r w:rsidRPr="0047220A">
              <w:rPr>
                <w:rFonts w:ascii="Arial" w:hAnsi="Arial" w:cs="Arial"/>
                <w:sz w:val="16"/>
                <w:szCs w:val="18"/>
                <w:vertAlign w:val="superscript"/>
              </w:rPr>
              <w:t>th</w:t>
            </w:r>
          </w:p>
        </w:tc>
        <w:tc>
          <w:tcPr>
            <w:tcW w:w="454" w:type="dxa"/>
            <w:tcBorders>
              <w:top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50</w:t>
            </w:r>
            <w:r w:rsidRPr="0047220A">
              <w:rPr>
                <w:rFonts w:ascii="Arial" w:hAnsi="Arial" w:cs="Arial"/>
                <w:sz w:val="16"/>
                <w:szCs w:val="18"/>
                <w:vertAlign w:val="superscript"/>
              </w:rPr>
              <w:t>th</w:t>
            </w:r>
          </w:p>
        </w:tc>
        <w:tc>
          <w:tcPr>
            <w:tcW w:w="454" w:type="dxa"/>
            <w:tcBorders>
              <w:top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75</w:t>
            </w:r>
            <w:r w:rsidRPr="0047220A">
              <w:rPr>
                <w:rFonts w:ascii="Arial" w:hAnsi="Arial" w:cs="Arial"/>
                <w:sz w:val="16"/>
                <w:szCs w:val="18"/>
                <w:vertAlign w:val="superscript"/>
              </w:rPr>
              <w:t>th</w:t>
            </w:r>
          </w:p>
        </w:tc>
        <w:tc>
          <w:tcPr>
            <w:tcW w:w="454" w:type="dxa"/>
            <w:tcBorders>
              <w:top w:val="single" w:sz="4" w:space="0" w:color="auto"/>
              <w:left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25</w:t>
            </w:r>
            <w:r w:rsidRPr="0047220A">
              <w:rPr>
                <w:rFonts w:ascii="Arial" w:hAnsi="Arial" w:cs="Arial"/>
                <w:sz w:val="16"/>
                <w:szCs w:val="18"/>
                <w:vertAlign w:val="superscript"/>
              </w:rPr>
              <w:t>th</w:t>
            </w:r>
          </w:p>
        </w:tc>
        <w:tc>
          <w:tcPr>
            <w:tcW w:w="454" w:type="dxa"/>
            <w:tcBorders>
              <w:top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50</w:t>
            </w:r>
            <w:r w:rsidRPr="0047220A">
              <w:rPr>
                <w:rFonts w:ascii="Arial" w:hAnsi="Arial" w:cs="Arial"/>
                <w:sz w:val="16"/>
                <w:szCs w:val="18"/>
                <w:vertAlign w:val="superscript"/>
              </w:rPr>
              <w:t>th</w:t>
            </w:r>
          </w:p>
        </w:tc>
        <w:tc>
          <w:tcPr>
            <w:tcW w:w="454" w:type="dxa"/>
            <w:tcBorders>
              <w:top w:val="single" w:sz="4" w:space="0" w:color="auto"/>
              <w:bottom w:val="single" w:sz="4" w:space="0" w:color="auto"/>
              <w:right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75</w:t>
            </w:r>
            <w:r w:rsidRPr="0047220A">
              <w:rPr>
                <w:rFonts w:ascii="Arial" w:hAnsi="Arial" w:cs="Arial"/>
                <w:sz w:val="16"/>
                <w:szCs w:val="18"/>
                <w:vertAlign w:val="superscript"/>
              </w:rPr>
              <w:t>th</w:t>
            </w:r>
          </w:p>
        </w:tc>
        <w:tc>
          <w:tcPr>
            <w:tcW w:w="454" w:type="dxa"/>
            <w:gridSpan w:val="2"/>
            <w:tcBorders>
              <w:top w:val="single" w:sz="4" w:space="0" w:color="auto"/>
              <w:left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25</w:t>
            </w:r>
            <w:r w:rsidRPr="0047220A">
              <w:rPr>
                <w:rFonts w:ascii="Arial" w:hAnsi="Arial" w:cs="Arial"/>
                <w:sz w:val="16"/>
                <w:szCs w:val="18"/>
                <w:vertAlign w:val="superscript"/>
              </w:rPr>
              <w:t>th</w:t>
            </w:r>
          </w:p>
        </w:tc>
        <w:tc>
          <w:tcPr>
            <w:tcW w:w="454" w:type="dxa"/>
            <w:tcBorders>
              <w:top w:val="single" w:sz="4" w:space="0" w:color="auto"/>
              <w:bottom w:val="single" w:sz="4" w:space="0" w:color="auto"/>
            </w:tcBorders>
            <w:shd w:val="clear" w:color="auto" w:fill="DDD9C3" w:themeFill="background2" w:themeFillShade="E6"/>
            <w:textDirection w:val="btLr"/>
            <w:vAlign w:val="center"/>
          </w:tcPr>
          <w:p w:rsidR="00D57541"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50</w:t>
            </w:r>
            <w:r w:rsidRPr="0047220A">
              <w:rPr>
                <w:rFonts w:ascii="Arial" w:hAnsi="Arial" w:cs="Arial"/>
                <w:sz w:val="16"/>
                <w:szCs w:val="18"/>
                <w:vertAlign w:val="superscript"/>
              </w:rPr>
              <w:t>th</w:t>
            </w:r>
          </w:p>
        </w:tc>
        <w:tc>
          <w:tcPr>
            <w:tcW w:w="464" w:type="dxa"/>
            <w:tcBorders>
              <w:top w:val="single" w:sz="4" w:space="0" w:color="auto"/>
              <w:bottom w:val="single" w:sz="4" w:space="0" w:color="auto"/>
            </w:tcBorders>
            <w:shd w:val="clear" w:color="auto" w:fill="DDD9C3" w:themeFill="background2" w:themeFillShade="E6"/>
            <w:textDirection w:val="btLr"/>
            <w:vAlign w:val="center"/>
          </w:tcPr>
          <w:p w:rsidR="00D57541" w:rsidRPr="005B7A42" w:rsidRDefault="00D57541" w:rsidP="004B55B0">
            <w:pPr>
              <w:pStyle w:val="BodyText"/>
              <w:spacing w:after="0" w:line="240" w:lineRule="auto"/>
              <w:ind w:left="57" w:right="113"/>
              <w:jc w:val="left"/>
              <w:rPr>
                <w:rFonts w:ascii="Arial" w:hAnsi="Arial" w:cs="Arial"/>
                <w:sz w:val="16"/>
                <w:szCs w:val="18"/>
              </w:rPr>
            </w:pPr>
            <w:r>
              <w:rPr>
                <w:rFonts w:ascii="Arial" w:hAnsi="Arial" w:cs="Arial"/>
                <w:sz w:val="16"/>
                <w:szCs w:val="18"/>
              </w:rPr>
              <w:t>75</w:t>
            </w:r>
            <w:r w:rsidRPr="0047220A">
              <w:rPr>
                <w:rFonts w:ascii="Arial" w:hAnsi="Arial" w:cs="Arial"/>
                <w:sz w:val="16"/>
                <w:szCs w:val="18"/>
                <w:vertAlign w:val="superscript"/>
              </w:rPr>
              <w:t>th</w:t>
            </w:r>
          </w:p>
        </w:tc>
      </w:tr>
      <w:tr w:rsidR="00F831DD" w:rsidRPr="005B7A42" w:rsidTr="004B55B0">
        <w:trPr>
          <w:trHeight w:val="244"/>
        </w:trPr>
        <w:tc>
          <w:tcPr>
            <w:tcW w:w="603" w:type="dxa"/>
            <w:tcBorders>
              <w:top w:val="single" w:sz="4" w:space="0" w:color="auto"/>
            </w:tcBorders>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20</w:t>
            </w:r>
          </w:p>
        </w:tc>
        <w:tc>
          <w:tcPr>
            <w:tcW w:w="811" w:type="dxa"/>
            <w:tcBorders>
              <w:top w:val="single" w:sz="4" w:space="0" w:color="auto"/>
            </w:tcBorders>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Male</w:t>
            </w:r>
          </w:p>
        </w:tc>
        <w:tc>
          <w:tcPr>
            <w:tcW w:w="700" w:type="dxa"/>
            <w:tcBorders>
              <w:top w:val="single" w:sz="4" w:space="0" w:color="auto"/>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5"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top w:val="single" w:sz="4" w:space="0" w:color="auto"/>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6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m</w:t>
            </w:r>
          </w:p>
        </w:tc>
        <w:tc>
          <w:tcPr>
            <w:tcW w:w="455"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gridSpan w:val="2"/>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m</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r>
      <w:tr w:rsidR="00F831DD" w:rsidRPr="005B7A42" w:rsidTr="004B55B0">
        <w:trPr>
          <w:trHeight w:val="244"/>
        </w:trPr>
        <w:tc>
          <w:tcPr>
            <w:tcW w:w="603" w:type="dxa"/>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Female</w:t>
            </w:r>
          </w:p>
        </w:tc>
        <w:tc>
          <w:tcPr>
            <w:tcW w:w="700" w:type="dxa"/>
            <w:tcBorders>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5"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6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bottom w:val="single" w:sz="4" w:space="0" w:color="auto"/>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5"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m</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A</w:t>
            </w:r>
          </w:p>
        </w:tc>
        <w:tc>
          <w:tcPr>
            <w:tcW w:w="454" w:type="dxa"/>
            <w:gridSpan w:val="2"/>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r>
      <w:tr w:rsidR="00F831DD" w:rsidRPr="005B7A42" w:rsidTr="004B55B0">
        <w:trPr>
          <w:trHeight w:val="244"/>
        </w:trPr>
        <w:tc>
          <w:tcPr>
            <w:tcW w:w="603" w:type="dxa"/>
            <w:tcBorders>
              <w:top w:val="single" w:sz="4" w:space="0" w:color="auto"/>
            </w:tcBorders>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30</w:t>
            </w:r>
          </w:p>
        </w:tc>
        <w:tc>
          <w:tcPr>
            <w:tcW w:w="811" w:type="dxa"/>
            <w:tcBorders>
              <w:top w:val="single" w:sz="4" w:space="0" w:color="auto"/>
            </w:tcBorders>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Male</w:t>
            </w:r>
          </w:p>
        </w:tc>
        <w:tc>
          <w:tcPr>
            <w:tcW w:w="700" w:type="dxa"/>
            <w:tcBorders>
              <w:top w:val="single" w:sz="4" w:space="0" w:color="auto"/>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5"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A</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M</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top w:val="single" w:sz="4" w:space="0" w:color="auto"/>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6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m</w:t>
            </w:r>
          </w:p>
        </w:tc>
        <w:tc>
          <w:tcPr>
            <w:tcW w:w="455"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DDD9C3" w:themeFill="background2" w:themeFillShade="E6"/>
            <w:vAlign w:val="center"/>
          </w:tcPr>
          <w:p w:rsidR="00F831DD" w:rsidRPr="005765F8" w:rsidRDefault="00BB7F76"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Female</w:t>
            </w:r>
          </w:p>
        </w:tc>
        <w:tc>
          <w:tcPr>
            <w:tcW w:w="700" w:type="dxa"/>
            <w:tcBorders>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5"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BB7F76"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bottom w:val="single" w:sz="4" w:space="0" w:color="auto"/>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m</w:t>
            </w:r>
          </w:p>
        </w:tc>
        <w:tc>
          <w:tcPr>
            <w:tcW w:w="455"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BB7F76"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M</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6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tcBorders>
              <w:top w:val="single" w:sz="4" w:space="0" w:color="auto"/>
            </w:tcBorders>
            <w:vAlign w:val="center"/>
          </w:tcPr>
          <w:p w:rsidR="00F831DD" w:rsidRPr="005B7A42" w:rsidRDefault="00F831DD" w:rsidP="004B55B0">
            <w:pPr>
              <w:pStyle w:val="BodyText"/>
              <w:spacing w:before="40" w:after="20" w:line="240" w:lineRule="auto"/>
              <w:jc w:val="center"/>
              <w:rPr>
                <w:rFonts w:ascii="Arial" w:hAnsi="Arial" w:cs="Arial"/>
                <w:sz w:val="16"/>
                <w:szCs w:val="18"/>
              </w:rPr>
            </w:pPr>
            <w:r>
              <w:rPr>
                <w:rFonts w:ascii="Arial" w:hAnsi="Arial" w:cs="Arial"/>
                <w:sz w:val="16"/>
                <w:szCs w:val="18"/>
              </w:rPr>
              <w:t>40</w:t>
            </w:r>
          </w:p>
        </w:tc>
        <w:tc>
          <w:tcPr>
            <w:tcW w:w="811" w:type="dxa"/>
            <w:tcBorders>
              <w:top w:val="single" w:sz="4" w:space="0" w:color="auto"/>
            </w:tcBorders>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Male</w:t>
            </w:r>
          </w:p>
        </w:tc>
        <w:tc>
          <w:tcPr>
            <w:tcW w:w="700" w:type="dxa"/>
            <w:tcBorders>
              <w:top w:val="single" w:sz="4" w:space="0" w:color="auto"/>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5"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A</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top w:val="single" w:sz="4" w:space="0" w:color="auto"/>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top w:val="single" w:sz="4" w:space="0" w:color="auto"/>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64" w:type="dxa"/>
            <w:tcBorders>
              <w:top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5"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DDD9C3" w:themeFill="background2" w:themeFillShade="E6"/>
            <w:vAlign w:val="center"/>
          </w:tcPr>
          <w:p w:rsidR="00F831DD" w:rsidRPr="005765F8" w:rsidRDefault="00BB7F76"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vAlign w:val="center"/>
          </w:tcPr>
          <w:p w:rsidR="00F831DD" w:rsidRPr="005B7A42" w:rsidRDefault="00F831DD" w:rsidP="004B55B0">
            <w:pPr>
              <w:pStyle w:val="BodyText"/>
              <w:spacing w:before="40" w:after="20" w:line="240" w:lineRule="auto"/>
              <w:jc w:val="left"/>
              <w:rPr>
                <w:rFonts w:ascii="Arial" w:hAnsi="Arial" w:cs="Arial"/>
                <w:sz w:val="16"/>
                <w:szCs w:val="18"/>
              </w:rPr>
            </w:pPr>
            <w:r w:rsidRPr="005B7A42">
              <w:rPr>
                <w:rFonts w:ascii="Arial" w:hAnsi="Arial" w:cs="Arial"/>
                <w:sz w:val="16"/>
                <w:szCs w:val="18"/>
              </w:rPr>
              <w:t>Female</w:t>
            </w:r>
          </w:p>
        </w:tc>
        <w:tc>
          <w:tcPr>
            <w:tcW w:w="700" w:type="dxa"/>
            <w:tcBorders>
              <w:right w:val="single" w:sz="4" w:space="0" w:color="auto"/>
            </w:tcBorders>
            <w:shd w:val="clear" w:color="auto" w:fill="auto"/>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No</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5"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BB7F76"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right w:val="single" w:sz="4" w:space="0" w:color="auto"/>
            </w:tcBorders>
            <w:shd w:val="clear" w:color="auto" w:fill="auto"/>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tcBorders>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64" w:type="dxa"/>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r w:rsidR="00F831DD" w:rsidRPr="005B7A42" w:rsidTr="004B55B0">
        <w:trPr>
          <w:trHeight w:val="244"/>
        </w:trPr>
        <w:tc>
          <w:tcPr>
            <w:tcW w:w="603"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p>
        </w:tc>
        <w:tc>
          <w:tcPr>
            <w:tcW w:w="811" w:type="dxa"/>
            <w:tcBorders>
              <w:bottom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left"/>
              <w:rPr>
                <w:rFonts w:ascii="Arial" w:hAnsi="Arial" w:cs="Arial"/>
                <w:sz w:val="16"/>
                <w:szCs w:val="18"/>
              </w:rPr>
            </w:pPr>
          </w:p>
        </w:tc>
        <w:tc>
          <w:tcPr>
            <w:tcW w:w="700" w:type="dxa"/>
            <w:tcBorders>
              <w:bottom w:val="single" w:sz="4" w:space="0" w:color="auto"/>
              <w:right w:val="single" w:sz="4" w:space="0" w:color="auto"/>
            </w:tcBorders>
            <w:shd w:val="clear" w:color="auto" w:fill="DDD9C3" w:themeFill="background2" w:themeFillShade="E6"/>
            <w:vAlign w:val="center"/>
          </w:tcPr>
          <w:p w:rsidR="00F831DD" w:rsidRPr="005B7A42" w:rsidRDefault="00F831DD" w:rsidP="004B55B0">
            <w:pPr>
              <w:pStyle w:val="BodyText"/>
              <w:spacing w:before="40" w:after="20" w:line="240" w:lineRule="auto"/>
              <w:jc w:val="center"/>
              <w:rPr>
                <w:rFonts w:ascii="Arial" w:hAnsi="Arial" w:cs="Arial"/>
                <w:sz w:val="16"/>
                <w:szCs w:val="18"/>
              </w:rPr>
            </w:pPr>
            <w:r w:rsidRPr="005B7A42">
              <w:rPr>
                <w:rFonts w:ascii="Arial" w:hAnsi="Arial" w:cs="Arial"/>
                <w:sz w:val="16"/>
                <w:szCs w:val="18"/>
              </w:rPr>
              <w:t>Yes</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5"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x</w:t>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right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c>
          <w:tcPr>
            <w:tcW w:w="454" w:type="dxa"/>
            <w:gridSpan w:val="2"/>
            <w:tcBorders>
              <w:left w:val="single" w:sz="4" w:space="0" w:color="auto"/>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sym w:font="Wingdings" w:char="F0FC"/>
            </w:r>
          </w:p>
        </w:tc>
        <w:tc>
          <w:tcPr>
            <w:tcW w:w="45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Pr>
                <w:rFonts w:ascii="Arial" w:hAnsi="Arial" w:cs="Arial"/>
                <w:sz w:val="16"/>
                <w:szCs w:val="18"/>
              </w:rPr>
              <w:t>A</w:t>
            </w:r>
          </w:p>
        </w:tc>
        <w:tc>
          <w:tcPr>
            <w:tcW w:w="464" w:type="dxa"/>
            <w:tcBorders>
              <w:bottom w:val="single" w:sz="4" w:space="0" w:color="auto"/>
            </w:tcBorders>
            <w:shd w:val="clear" w:color="auto" w:fill="DDD9C3" w:themeFill="background2" w:themeFillShade="E6"/>
            <w:vAlign w:val="center"/>
          </w:tcPr>
          <w:p w:rsidR="00F831DD" w:rsidRPr="005765F8" w:rsidRDefault="00F831DD" w:rsidP="004B55B0">
            <w:pPr>
              <w:pStyle w:val="BodyText"/>
              <w:spacing w:before="40" w:after="20" w:line="240" w:lineRule="auto"/>
              <w:ind w:right="-50"/>
              <w:jc w:val="center"/>
              <w:rPr>
                <w:rFonts w:ascii="Arial" w:hAnsi="Arial" w:cs="Arial"/>
                <w:sz w:val="16"/>
                <w:szCs w:val="18"/>
              </w:rPr>
            </w:pPr>
            <w:r w:rsidRPr="005765F8">
              <w:rPr>
                <w:rFonts w:ascii="Arial" w:hAnsi="Arial" w:cs="Arial"/>
                <w:sz w:val="16"/>
                <w:szCs w:val="18"/>
              </w:rPr>
              <w:t>A</w:t>
            </w:r>
          </w:p>
        </w:tc>
      </w:tr>
    </w:tbl>
    <w:p w:rsidR="004D2C0C" w:rsidRPr="004D2C0C" w:rsidRDefault="00906441" w:rsidP="004D2C0C">
      <w:pPr>
        <w:spacing w:before="120" w:after="240"/>
        <w:rPr>
          <w:rFonts w:ascii="Arial" w:hAnsi="Arial" w:cs="Arial"/>
          <w:sz w:val="16"/>
          <w:szCs w:val="16"/>
        </w:rPr>
      </w:pPr>
      <w:r w:rsidRPr="00BF574F">
        <w:rPr>
          <w:rFonts w:ascii="Arial" w:hAnsi="Arial" w:cs="Arial"/>
          <w:sz w:val="16"/>
        </w:rPr>
        <w:t>x=income before studying was below the repayment threshold, and did not reach the threshold after completing</w:t>
      </w:r>
      <w:r>
        <w:rPr>
          <w:rFonts w:ascii="Arial" w:hAnsi="Arial" w:cs="Arial"/>
          <w:sz w:val="16"/>
        </w:rPr>
        <w:t>.</w:t>
      </w:r>
      <w:r>
        <w:rPr>
          <w:rFonts w:ascii="Arial" w:hAnsi="Arial" w:cs="Arial"/>
          <w:sz w:val="16"/>
        </w:rPr>
        <w:br/>
      </w:r>
      <w:r w:rsidR="00BC22AE" w:rsidRPr="00BF574F">
        <w:rPr>
          <w:rFonts w:ascii="Arial" w:hAnsi="Arial" w:cs="Arial"/>
          <w:sz w:val="16"/>
        </w:rPr>
        <w:t>m=income before studying was below the repayment threshold, and it was no more than 10% above the threshold ($19,900) after completing</w:t>
      </w:r>
      <w:r w:rsidR="00BC22AE">
        <w:rPr>
          <w:rFonts w:ascii="Arial" w:hAnsi="Arial" w:cs="Arial"/>
          <w:sz w:val="16"/>
        </w:rPr>
        <w:t>.</w:t>
      </w:r>
      <w:r w:rsidR="00BC22AE">
        <w:rPr>
          <w:rFonts w:ascii="Arial" w:hAnsi="Arial" w:cs="Arial"/>
          <w:sz w:val="16"/>
        </w:rPr>
        <w:br/>
      </w:r>
      <w:r w:rsidRPr="00BF574F">
        <w:rPr>
          <w:rFonts w:ascii="Arial" w:hAnsi="Arial" w:cs="Arial"/>
          <w:sz w:val="16"/>
          <w:szCs w:val="18"/>
        </w:rPr>
        <w:sym w:font="Wingdings" w:char="F0FC"/>
      </w:r>
      <w:r w:rsidRPr="00BF574F">
        <w:rPr>
          <w:rFonts w:ascii="Arial" w:hAnsi="Arial" w:cs="Arial"/>
          <w:sz w:val="16"/>
        </w:rPr>
        <w:t>=income before studying was below the repayment threshold, and did reach the threshold after completing</w:t>
      </w:r>
      <w:r>
        <w:rPr>
          <w:rFonts w:ascii="Arial" w:hAnsi="Arial" w:cs="Arial"/>
          <w:sz w:val="16"/>
        </w:rPr>
        <w:t>.</w:t>
      </w:r>
      <w:r w:rsidRPr="00BF574F">
        <w:rPr>
          <w:rFonts w:ascii="Arial" w:hAnsi="Arial" w:cs="Arial"/>
          <w:sz w:val="16"/>
        </w:rPr>
        <w:br/>
      </w:r>
      <w:r>
        <w:rPr>
          <w:rFonts w:ascii="Arial" w:hAnsi="Arial" w:cs="Arial"/>
          <w:sz w:val="16"/>
        </w:rPr>
        <w:t xml:space="preserve">M=income before studying was not more than 10 per cent above the threshold, and didn’t change </w:t>
      </w:r>
      <w:r w:rsidR="00A807DB">
        <w:rPr>
          <w:rFonts w:ascii="Arial" w:hAnsi="Arial" w:cs="Arial"/>
          <w:sz w:val="16"/>
        </w:rPr>
        <w:t xml:space="preserve">significantly </w:t>
      </w:r>
      <w:r>
        <w:rPr>
          <w:rFonts w:ascii="Arial" w:hAnsi="Arial" w:cs="Arial"/>
          <w:sz w:val="16"/>
        </w:rPr>
        <w:t>after completing.</w:t>
      </w:r>
      <w:r w:rsidRPr="00BF574F">
        <w:rPr>
          <w:rFonts w:ascii="Arial" w:hAnsi="Arial" w:cs="Arial"/>
          <w:sz w:val="16"/>
        </w:rPr>
        <w:br/>
        <w:t xml:space="preserve">A=income before study was already </w:t>
      </w:r>
      <w:r>
        <w:rPr>
          <w:rFonts w:ascii="Arial" w:hAnsi="Arial" w:cs="Arial"/>
          <w:sz w:val="16"/>
        </w:rPr>
        <w:t xml:space="preserve">at least 10 per cent </w:t>
      </w:r>
      <w:r w:rsidRPr="00BF574F">
        <w:rPr>
          <w:rFonts w:ascii="Arial" w:hAnsi="Arial" w:cs="Arial"/>
          <w:sz w:val="16"/>
        </w:rPr>
        <w:t>above the repayment threshold.</w:t>
      </w:r>
      <w:r w:rsidR="004D2C0C">
        <w:rPr>
          <w:rFonts w:ascii="Arial" w:hAnsi="Arial" w:cs="Arial"/>
          <w:sz w:val="16"/>
        </w:rPr>
        <w:br/>
      </w:r>
      <w:r w:rsidR="004D2C0C" w:rsidRPr="004D2C0C">
        <w:rPr>
          <w:rFonts w:ascii="Arial" w:hAnsi="Arial" w:cs="Arial"/>
          <w:sz w:val="16"/>
          <w:szCs w:val="16"/>
        </w:rPr>
        <w:t xml:space="preserve">Source: Statistics New Zealand, Integrated Data Infrastructure, Ministry of Education interpretation. </w:t>
      </w:r>
    </w:p>
    <w:p w:rsidR="006F4C52" w:rsidRDefault="006F4C52">
      <w:pPr>
        <w:rPr>
          <w:szCs w:val="20"/>
        </w:rPr>
      </w:pPr>
    </w:p>
    <w:p w:rsidR="00BC22AE" w:rsidRDefault="0030694D" w:rsidP="00C116F0">
      <w:pPr>
        <w:pStyle w:val="BodyText"/>
        <w:rPr>
          <w:rFonts w:ascii="Arial" w:hAnsi="Arial"/>
          <w:caps/>
          <w:sz w:val="32"/>
        </w:rPr>
      </w:pPr>
      <w:r>
        <w:t>A limitation of this</w:t>
      </w:r>
      <w:r w:rsidR="006347A7">
        <w:t xml:space="preserve"> particular</w:t>
      </w:r>
      <w:r>
        <w:t xml:space="preserve"> analysis is that we are only considering income one year after completing a qualification. As our earlier results show, income rises with time. And it may take some people more than a year to find employment commensurate with their new qualification. However, as our earlier results also show, there is usually a step-increase in income immediately on comp</w:t>
      </w:r>
      <w:r w:rsidR="00617ADA">
        <w:t>leting a tertiary qualification, and this step change contributes significantly to the chance a person has a graduate income above the repayment threshold</w:t>
      </w:r>
      <w:r>
        <w:t>.</w:t>
      </w:r>
      <w:r w:rsidR="00617ADA">
        <w:t xml:space="preserve"> </w:t>
      </w:r>
      <w:r w:rsidR="00BC22AE">
        <w:br w:type="page"/>
      </w:r>
    </w:p>
    <w:p w:rsidR="009967E0" w:rsidRDefault="004737CB" w:rsidP="00F40FD3">
      <w:pPr>
        <w:pStyle w:val="Heading1"/>
      </w:pPr>
      <w:bookmarkStart w:id="8" w:name="_Toc386449901"/>
      <w:r>
        <w:lastRenderedPageBreak/>
        <w:t>Other considerations</w:t>
      </w:r>
      <w:bookmarkEnd w:id="8"/>
    </w:p>
    <w:p w:rsidR="00A95366" w:rsidRDefault="002735C4" w:rsidP="00A95366">
      <w:pPr>
        <w:pStyle w:val="BodyText"/>
      </w:pPr>
      <w:r>
        <w:t>Modelling involves</w:t>
      </w:r>
      <w:r w:rsidR="00A95366">
        <w:t xml:space="preserve"> simplifications. Some</w:t>
      </w:r>
      <w:r>
        <w:t>times this arises</w:t>
      </w:r>
      <w:r w:rsidR="00A95366">
        <w:t xml:space="preserve"> from not having access to all of the </w:t>
      </w:r>
      <w:r w:rsidR="004E1563">
        <w:t>variables</w:t>
      </w:r>
      <w:r w:rsidR="00A95366">
        <w:t xml:space="preserve"> </w:t>
      </w:r>
      <w:r w:rsidR="00BA71C8">
        <w:t xml:space="preserve">and personal characteristics </w:t>
      </w:r>
      <w:r w:rsidR="00A95366">
        <w:t xml:space="preserve">necessary to build a more complete </w:t>
      </w:r>
      <w:r w:rsidR="00C92ADC">
        <w:t xml:space="preserve">or realistic </w:t>
      </w:r>
      <w:r w:rsidR="00A95366">
        <w:t>model</w:t>
      </w:r>
      <w:r w:rsidR="00A43B87">
        <w:t>. B</w:t>
      </w:r>
      <w:r w:rsidR="00A95366">
        <w:t xml:space="preserve">ut in other cases, the researcher deliberately makes simplifying assumptions so the model will actually work, that its results are </w:t>
      </w:r>
      <w:r w:rsidR="00A43B87">
        <w:t xml:space="preserve">relatively easily </w:t>
      </w:r>
      <w:r w:rsidR="00A95366">
        <w:t>interpret</w:t>
      </w:r>
      <w:r w:rsidR="00A43B87">
        <w:t>ed</w:t>
      </w:r>
      <w:r w:rsidR="00A95366">
        <w:t>, and</w:t>
      </w:r>
      <w:r w:rsidR="00331E3D">
        <w:t>,</w:t>
      </w:r>
      <w:r w:rsidR="00A95366">
        <w:t xml:space="preserve"> </w:t>
      </w:r>
      <w:r w:rsidR="00672CF9">
        <w:t xml:space="preserve">just as importantly, </w:t>
      </w:r>
      <w:r w:rsidR="00A43B87">
        <w:t xml:space="preserve">are relatively easily to </w:t>
      </w:r>
      <w:r w:rsidR="00A95366">
        <w:t>explain</w:t>
      </w:r>
      <w:r w:rsidR="00A43B87">
        <w:t xml:space="preserve"> </w:t>
      </w:r>
      <w:r w:rsidR="00BE419F">
        <w:t>to an audience who may not be particularly interested in the finer points of statistical modelling</w:t>
      </w:r>
      <w:r w:rsidR="00A95366">
        <w:t xml:space="preserve">. </w:t>
      </w:r>
      <w:r w:rsidR="00A9228B">
        <w:t xml:space="preserve">In this section we explain some of the simplifying assumptions we have made, and what impact </w:t>
      </w:r>
      <w:r w:rsidR="00672CF9">
        <w:t>these</w:t>
      </w:r>
      <w:r w:rsidR="00A9228B">
        <w:t xml:space="preserve"> might have had on the results.</w:t>
      </w:r>
      <w:r w:rsidR="00BA71C8">
        <w:t xml:space="preserve"> We also consider other factors that are beyond our control, and how these need to be taken into consideration when interpreting </w:t>
      </w:r>
      <w:r w:rsidR="00D93852">
        <w:t>the</w:t>
      </w:r>
      <w:r w:rsidR="00BA71C8">
        <w:t xml:space="preserve"> results</w:t>
      </w:r>
      <w:r w:rsidR="00D93852">
        <w:t xml:space="preserve"> of our analysis</w:t>
      </w:r>
      <w:r w:rsidR="00BA71C8">
        <w:t>.</w:t>
      </w:r>
      <w:r w:rsidR="00C246FC">
        <w:t xml:space="preserve"> But first we present some results for people in their fifties.</w:t>
      </w:r>
    </w:p>
    <w:p w:rsidR="00C246FC" w:rsidRDefault="00D6092B" w:rsidP="00D6092B">
      <w:pPr>
        <w:pStyle w:val="Heading2"/>
      </w:pPr>
      <w:bookmarkStart w:id="9" w:name="_Toc386449902"/>
      <w:r>
        <w:t>P</w:t>
      </w:r>
      <w:r w:rsidR="00C246FC">
        <w:t>eople</w:t>
      </w:r>
      <w:r w:rsidR="006C7735">
        <w:t xml:space="preserve"> in their fifties</w:t>
      </w:r>
      <w:bookmarkEnd w:id="9"/>
    </w:p>
    <w:p w:rsidR="00C246FC" w:rsidRDefault="00C246FC" w:rsidP="00C246FC">
      <w:pPr>
        <w:pStyle w:val="BodyText"/>
      </w:pPr>
      <w:r>
        <w:t>As we mentioned in the introduction, we</w:t>
      </w:r>
      <w:r w:rsidR="004D638B">
        <w:t xml:space="preserve"> had originally</w:t>
      </w:r>
      <w:r>
        <w:t xml:space="preserve"> included in our analysis people in their twenties, thirties, forties and fifties. However, the number of people in their fifties who completed a qualification, especially at</w:t>
      </w:r>
      <w:r w:rsidR="009D1FF7">
        <w:t xml:space="preserve"> diploma and bachelors</w:t>
      </w:r>
      <w:r>
        <w:t xml:space="preserve"> levels, </w:t>
      </w:r>
      <w:r w:rsidR="009D1FF7">
        <w:t>was</w:t>
      </w:r>
      <w:r>
        <w:t xml:space="preserve"> not </w:t>
      </w:r>
      <w:r w:rsidR="009D1FF7">
        <w:t xml:space="preserve">high enough for us to be confident </w:t>
      </w:r>
      <w:r w:rsidR="004D638B">
        <w:t>of</w:t>
      </w:r>
      <w:r w:rsidR="009D1FF7">
        <w:t xml:space="preserve"> the results</w:t>
      </w:r>
      <w:r w:rsidR="004D638B">
        <w:t xml:space="preserve"> for this group</w:t>
      </w:r>
      <w:r w:rsidR="009D1FF7">
        <w:t xml:space="preserve">. In essence, the </w:t>
      </w:r>
      <w:r w:rsidR="004D638B">
        <w:t>small</w:t>
      </w:r>
      <w:r w:rsidR="009D1FF7">
        <w:t xml:space="preserve"> number </w:t>
      </w:r>
      <w:r w:rsidR="004D638B">
        <w:t>of people completing</w:t>
      </w:r>
      <w:r w:rsidR="002B70B3">
        <w:t xml:space="preserve"> qualifications</w:t>
      </w:r>
      <w:r w:rsidR="004D638B">
        <w:t xml:space="preserve"> </w:t>
      </w:r>
      <w:r w:rsidR="009D1FF7">
        <w:t xml:space="preserve">meant </w:t>
      </w:r>
      <w:r w:rsidR="004D638B">
        <w:t xml:space="preserve">the models could not </w:t>
      </w:r>
      <w:r w:rsidR="002B70B3">
        <w:t xml:space="preserve">statistically </w:t>
      </w:r>
      <w:r w:rsidR="004D638B">
        <w:t xml:space="preserve">distinguish </w:t>
      </w:r>
      <w:r w:rsidR="009D1FF7">
        <w:t xml:space="preserve">relatively large changes in income </w:t>
      </w:r>
      <w:r w:rsidR="004D638B">
        <w:t xml:space="preserve">from </w:t>
      </w:r>
      <w:r w:rsidR="002B70B3">
        <w:t>no change in income</w:t>
      </w:r>
      <w:r w:rsidR="009D1FF7">
        <w:t>. In this section</w:t>
      </w:r>
      <w:r w:rsidR="00AF5A5B">
        <w:t>,</w:t>
      </w:r>
      <w:r w:rsidR="009D1FF7">
        <w:t xml:space="preserve"> we summarise the results</w:t>
      </w:r>
      <w:r w:rsidR="004E77F2">
        <w:t xml:space="preserve"> for this age group</w:t>
      </w:r>
      <w:r w:rsidR="009D1FF7">
        <w:t xml:space="preserve"> in general terms.</w:t>
      </w:r>
    </w:p>
    <w:p w:rsidR="000B13D7" w:rsidRDefault="009D1FF7" w:rsidP="00C246FC">
      <w:pPr>
        <w:pStyle w:val="BodyText"/>
      </w:pPr>
      <w:r>
        <w:t>People in their fifties are beginning to approach the end of their working lives, and some people will be moving to part-time work, or retiring. For many people</w:t>
      </w:r>
      <w:r w:rsidR="004E77F2">
        <w:t xml:space="preserve"> at this age</w:t>
      </w:r>
      <w:r>
        <w:t xml:space="preserve">, their income will be </w:t>
      </w:r>
      <w:r w:rsidR="004E77F2">
        <w:t xml:space="preserve">at </w:t>
      </w:r>
      <w:r>
        <w:t xml:space="preserve">the highest </w:t>
      </w:r>
      <w:r w:rsidR="004E77F2">
        <w:t xml:space="preserve">level </w:t>
      </w:r>
      <w:r>
        <w:t xml:space="preserve">in their working lives. This is borne out in the regression results. </w:t>
      </w:r>
      <w:r w:rsidR="004E77F2">
        <w:t>For the group of people who have incomes below the repayment threshold at the start of the study period, t</w:t>
      </w:r>
      <w:r>
        <w:t xml:space="preserve">he average pre-study income </w:t>
      </w:r>
      <w:r w:rsidR="004D638B">
        <w:t xml:space="preserve">for the fifty year olds </w:t>
      </w:r>
      <w:r>
        <w:t>is the highest seen for any age group</w:t>
      </w:r>
      <w:r w:rsidR="004D638B">
        <w:t>. However</w:t>
      </w:r>
      <w:r>
        <w:t xml:space="preserve"> the annual rate of increase in income</w:t>
      </w:r>
      <w:r w:rsidR="004D638B">
        <w:t xml:space="preserve"> for these fifty year olds</w:t>
      </w:r>
      <w:r>
        <w:t xml:space="preserve"> is lower than for people in their forties, and this rate is</w:t>
      </w:r>
      <w:r w:rsidR="002B70B3">
        <w:t xml:space="preserve"> also</w:t>
      </w:r>
      <w:r>
        <w:t xml:space="preserve"> slowing at a faster rate.</w:t>
      </w:r>
      <w:r w:rsidR="004E77F2">
        <w:t xml:space="preserve"> </w:t>
      </w:r>
      <w:r w:rsidR="004D638B">
        <w:t>The results also showed that for s</w:t>
      </w:r>
      <w:r w:rsidR="004E77F2">
        <w:t xml:space="preserve">ome </w:t>
      </w:r>
      <w:r w:rsidR="004D638B">
        <w:t>groups their average income declines</w:t>
      </w:r>
      <w:r w:rsidR="004E77F2">
        <w:t xml:space="preserve"> as they approach 59 years of age.</w:t>
      </w:r>
      <w:r>
        <w:t xml:space="preserve"> </w:t>
      </w:r>
    </w:p>
    <w:p w:rsidR="009D1FF7" w:rsidRDefault="009D1FF7" w:rsidP="00C246FC">
      <w:pPr>
        <w:pStyle w:val="BodyText"/>
      </w:pPr>
      <w:r>
        <w:t>For people in their fifties to have low incomes</w:t>
      </w:r>
      <w:r w:rsidR="00AF5A5B">
        <w:t>,</w:t>
      </w:r>
      <w:r>
        <w:t xml:space="preserve"> </w:t>
      </w:r>
      <w:r w:rsidR="000B13D7">
        <w:t xml:space="preserve">there must be circumstances which limit their ability to engage with the labour market. They might have </w:t>
      </w:r>
      <w:r w:rsidR="004E77F2">
        <w:t xml:space="preserve">no or </w:t>
      </w:r>
      <w:r w:rsidR="000B13D7">
        <w:t>low level qualifications, or be in low-paid employment, work part-time, or have some disability or illness that prevents them from working</w:t>
      </w:r>
      <w:r w:rsidR="006C7735">
        <w:t xml:space="preserve"> full-time or at all.</w:t>
      </w:r>
      <w:r w:rsidR="000B13D7">
        <w:t xml:space="preserve"> </w:t>
      </w:r>
      <w:r w:rsidR="00AF5A5B">
        <w:t>S</w:t>
      </w:r>
      <w:r w:rsidR="000B13D7">
        <w:t xml:space="preserve">ome people might still have dependents which will limit the hours they can work. Completing a qualification at this stage in their lives is unlikely to change </w:t>
      </w:r>
      <w:r w:rsidR="002C44D8">
        <w:t xml:space="preserve">most of </w:t>
      </w:r>
      <w:r w:rsidR="000B13D7">
        <w:t xml:space="preserve">these circumstances. Indeed, the results suggested that, on average, a student loan borrower </w:t>
      </w:r>
      <w:r w:rsidR="006E7E15">
        <w:t xml:space="preserve">in their fifties with low income </w:t>
      </w:r>
      <w:r w:rsidR="000B13D7">
        <w:t xml:space="preserve">who completed a certificate saw no </w:t>
      </w:r>
      <w:r w:rsidR="002C44D8">
        <w:t>real change</w:t>
      </w:r>
      <w:r w:rsidR="000B13D7">
        <w:t xml:space="preserve"> </w:t>
      </w:r>
      <w:r w:rsidR="002C44D8">
        <w:t xml:space="preserve">in </w:t>
      </w:r>
      <w:r w:rsidR="000B13D7">
        <w:t xml:space="preserve">their income trajectory. Completing a diploma made a slight difference </w:t>
      </w:r>
      <w:r w:rsidR="002C44D8">
        <w:t>to</w:t>
      </w:r>
      <w:r w:rsidR="000B13D7">
        <w:t xml:space="preserve"> those not on a </w:t>
      </w:r>
      <w:proofErr w:type="gramStart"/>
      <w:r w:rsidR="000B13D7">
        <w:t>benefit</w:t>
      </w:r>
      <w:r w:rsidR="002C44D8">
        <w:t>,</w:t>
      </w:r>
      <w:proofErr w:type="gramEnd"/>
      <w:r w:rsidR="002C44D8">
        <w:t xml:space="preserve"> </w:t>
      </w:r>
      <w:r w:rsidR="009F12C7">
        <w:t xml:space="preserve">and this </w:t>
      </w:r>
      <w:r w:rsidR="002C44D8">
        <w:t xml:space="preserve">was sufficient for their income, on average, to </w:t>
      </w:r>
      <w:r w:rsidR="006E7E15">
        <w:t>rise</w:t>
      </w:r>
      <w:r w:rsidR="002C44D8">
        <w:t xml:space="preserve"> </w:t>
      </w:r>
      <w:r w:rsidR="000B13D7">
        <w:t>above the repayment threshold</w:t>
      </w:r>
      <w:r w:rsidR="009F12C7">
        <w:t xml:space="preserve"> one year after completing</w:t>
      </w:r>
      <w:r w:rsidR="000B13D7">
        <w:t>.</w:t>
      </w:r>
    </w:p>
    <w:p w:rsidR="000B13D7" w:rsidRDefault="000B13D7" w:rsidP="00C246FC">
      <w:pPr>
        <w:pStyle w:val="BodyText"/>
      </w:pPr>
      <w:r>
        <w:t xml:space="preserve">Only when </w:t>
      </w:r>
      <w:r w:rsidR="009F12C7">
        <w:t xml:space="preserve">people in their fifties completed </w:t>
      </w:r>
      <w:r>
        <w:t xml:space="preserve">a </w:t>
      </w:r>
      <w:proofErr w:type="gramStart"/>
      <w:r>
        <w:t>bachelors</w:t>
      </w:r>
      <w:proofErr w:type="gramEnd"/>
      <w:r>
        <w:t xml:space="preserve"> degree did a </w:t>
      </w:r>
      <w:r w:rsidR="006E7E15">
        <w:t xml:space="preserve">low income </w:t>
      </w:r>
      <w:r>
        <w:t xml:space="preserve">student loan borrower </w:t>
      </w:r>
      <w:r w:rsidR="009F12C7">
        <w:t>see</w:t>
      </w:r>
      <w:r>
        <w:t xml:space="preserve"> a </w:t>
      </w:r>
      <w:r w:rsidR="006C7735">
        <w:t>large step change in their income, although the rate of change in income after completing was relatively flat compared to younger people.</w:t>
      </w:r>
      <w:r w:rsidR="002C44D8">
        <w:t xml:space="preserve"> This </w:t>
      </w:r>
      <w:r w:rsidR="009F12C7">
        <w:t xml:space="preserve">overall </w:t>
      </w:r>
      <w:r w:rsidR="002C44D8">
        <w:t>change in income, for both people on a benefit and not, meant that their income, on average, was above the repayment threshold.</w:t>
      </w:r>
      <w:r w:rsidR="009F12C7">
        <w:t xml:space="preserve"> However, those on a benefit showed declining incomes after an initial increase, so there is a question as to how long their income might </w:t>
      </w:r>
      <w:r w:rsidR="002B70B3">
        <w:t>stay</w:t>
      </w:r>
      <w:r w:rsidR="009F12C7">
        <w:t xml:space="preserve"> above the repayment threshold. </w:t>
      </w:r>
    </w:p>
    <w:p w:rsidR="00EE0699" w:rsidRDefault="006C7735" w:rsidP="00C246FC">
      <w:pPr>
        <w:pStyle w:val="BodyText"/>
      </w:pPr>
      <w:r>
        <w:t>When we looked at</w:t>
      </w:r>
      <w:r w:rsidR="00EE0699">
        <w:t xml:space="preserve"> the distribution of the post-completion incomes for this age group, graduates completing any level of qualification with an income at the 75</w:t>
      </w:r>
      <w:r w:rsidR="00EE0699" w:rsidRPr="00EE0699">
        <w:rPr>
          <w:vertAlign w:val="superscript"/>
        </w:rPr>
        <w:t>th</w:t>
      </w:r>
      <w:r w:rsidR="00EE0699">
        <w:t xml:space="preserve"> percentile for their particular group were above the repayment threshold, apart from men on a benefit who completed a </w:t>
      </w:r>
      <w:r w:rsidR="00EE0699">
        <w:lastRenderedPageBreak/>
        <w:t xml:space="preserve">certificate at levels 1 to 3. For those on median incomes for their group, being on a benefit meant they were under the repayment threshold, apart from those completing </w:t>
      </w:r>
      <w:proofErr w:type="spellStart"/>
      <w:proofErr w:type="gramStart"/>
      <w:r w:rsidR="00EE0699">
        <w:t>bachelors</w:t>
      </w:r>
      <w:proofErr w:type="spellEnd"/>
      <w:proofErr w:type="gramEnd"/>
      <w:r w:rsidR="00EE0699">
        <w:t xml:space="preserve"> degrees. And those at the bottom quarter of the income distributions for their groups, essentially no-one was above the repayment threshold, regardless of the level of qualification completed. Only women in their fifties, not on a benefit, </w:t>
      </w:r>
      <w:r w:rsidR="005E3FC4">
        <w:t xml:space="preserve">who completed </w:t>
      </w:r>
      <w:r w:rsidR="00EE0699">
        <w:t>a bachelor degree were above the threshold,</w:t>
      </w:r>
      <w:r w:rsidR="005E3FC4">
        <w:t xml:space="preserve"> and while their income increased by nearly $11,000 per annum after completing, </w:t>
      </w:r>
      <w:r w:rsidR="00EE0699">
        <w:t xml:space="preserve">their pre-study income was already </w:t>
      </w:r>
      <w:r w:rsidR="005E3FC4">
        <w:t>above the repayment threshold</w:t>
      </w:r>
      <w:r w:rsidR="00EE0699">
        <w:t>.</w:t>
      </w:r>
    </w:p>
    <w:p w:rsidR="00BE6DDA" w:rsidRDefault="00BE6DDA" w:rsidP="00D6092B">
      <w:pPr>
        <w:pStyle w:val="Heading2"/>
      </w:pPr>
      <w:bookmarkStart w:id="10" w:name="_Toc386449903"/>
      <w:r>
        <w:t>Subject of the qualification</w:t>
      </w:r>
      <w:bookmarkEnd w:id="10"/>
    </w:p>
    <w:p w:rsidR="00A9228B" w:rsidRDefault="00986B4A" w:rsidP="00A95366">
      <w:pPr>
        <w:pStyle w:val="BodyText"/>
      </w:pPr>
      <w:r>
        <w:t xml:space="preserve">Chen and Webster (2013) found that New Zealand resident student loan borrowers who studied in the broad fields of food and hospitality, society and culture and information technology were more likely to be under the repayment threshold </w:t>
      </w:r>
      <w:r w:rsidR="00A72E92">
        <w:t>in the</w:t>
      </w:r>
      <w:r>
        <w:t xml:space="preserve"> three years after leaving study in 2006. On the other hand, similar students who studied in health, education and science were less likely to be under the threshold. So we know the field of study </w:t>
      </w:r>
      <w:r w:rsidR="00BE419F">
        <w:t>is an important explanatory variable</w:t>
      </w:r>
      <w:r>
        <w:t>. But there are eleven broad fields of study</w:t>
      </w:r>
      <w:r w:rsidR="00BA71C8">
        <w:t xml:space="preserve"> and many more narrow fields</w:t>
      </w:r>
      <w:r>
        <w:t xml:space="preserve">, and </w:t>
      </w:r>
      <w:r w:rsidR="00BA71C8">
        <w:t xml:space="preserve">it </w:t>
      </w:r>
      <w:r w:rsidR="007A2400">
        <w:t>becomes clear</w:t>
      </w:r>
      <w:r w:rsidR="00BA71C8">
        <w:t xml:space="preserve"> that this many categories will be problematic to model</w:t>
      </w:r>
      <w:r w:rsidR="007A2400">
        <w:t xml:space="preserve">; the number of combinations of qualifications and </w:t>
      </w:r>
      <w:r w:rsidR="002735C4">
        <w:t>subjects</w:t>
      </w:r>
      <w:r w:rsidR="007A2400">
        <w:t xml:space="preserve"> become very large, which </w:t>
      </w:r>
      <w:r w:rsidR="002735C4">
        <w:t>reduces</w:t>
      </w:r>
      <w:r w:rsidR="007A2400">
        <w:t xml:space="preserve"> sample sizes, and results in </w:t>
      </w:r>
      <w:r>
        <w:t>far</w:t>
      </w:r>
      <w:r w:rsidR="007A2400">
        <w:t xml:space="preserve"> more complex model</w:t>
      </w:r>
      <w:r w:rsidR="00C54BE4">
        <w:t>s</w:t>
      </w:r>
      <w:r w:rsidR="007A2400">
        <w:t xml:space="preserve">. </w:t>
      </w:r>
      <w:r w:rsidR="002735C4">
        <w:t xml:space="preserve">And if </w:t>
      </w:r>
      <w:r w:rsidR="00C54BE4">
        <w:t xml:space="preserve">the </w:t>
      </w:r>
      <w:r w:rsidR="002735C4">
        <w:t xml:space="preserve">subjects </w:t>
      </w:r>
      <w:r w:rsidR="00C54BE4">
        <w:t xml:space="preserve">studied </w:t>
      </w:r>
      <w:r w:rsidR="002735C4">
        <w:t>are correlated with gender or age</w:t>
      </w:r>
      <w:r w:rsidR="00C54BE4">
        <w:t xml:space="preserve">—as we found they were—the </w:t>
      </w:r>
      <w:r w:rsidR="002735C4">
        <w:t xml:space="preserve">models </w:t>
      </w:r>
      <w:r w:rsidR="00BA71C8">
        <w:t>will</w:t>
      </w:r>
      <w:r w:rsidR="002735C4">
        <w:t xml:space="preserve"> not be robust in any case. </w:t>
      </w:r>
      <w:r w:rsidR="00A72E92">
        <w:t>For these reasons w</w:t>
      </w:r>
      <w:r w:rsidR="007A2400">
        <w:t>e decided</w:t>
      </w:r>
      <w:r w:rsidR="002B70B3">
        <w:t xml:space="preserve"> not</w:t>
      </w:r>
      <w:r w:rsidR="007A2400">
        <w:t xml:space="preserve"> to </w:t>
      </w:r>
      <w:r w:rsidR="00C54BE4">
        <w:t xml:space="preserve">include </w:t>
      </w:r>
      <w:r w:rsidR="007A2400">
        <w:t xml:space="preserve">the </w:t>
      </w:r>
      <w:r w:rsidR="002735C4">
        <w:t>subject of the qualification</w:t>
      </w:r>
      <w:r w:rsidR="007A2400">
        <w:t xml:space="preserve"> </w:t>
      </w:r>
      <w:r w:rsidR="00785C3A">
        <w:t xml:space="preserve">directly </w:t>
      </w:r>
      <w:r w:rsidR="00C54BE4">
        <w:t>in our models</w:t>
      </w:r>
      <w:r w:rsidR="00A72E92">
        <w:t>.</w:t>
      </w:r>
      <w:r w:rsidR="007A2400">
        <w:t xml:space="preserve"> In any case, it is relatively straightforward to envisage </w:t>
      </w:r>
      <w:r w:rsidR="00A72E92">
        <w:t>which</w:t>
      </w:r>
      <w:r w:rsidR="00BA71C8">
        <w:t xml:space="preserve"> subjects </w:t>
      </w:r>
      <w:r>
        <w:t>attract the higher incomes</w:t>
      </w:r>
      <w:r w:rsidR="007A2400">
        <w:t>.</w:t>
      </w:r>
      <w:r w:rsidR="00010A86">
        <w:t xml:space="preserve"> The recent work by Mahoney </w:t>
      </w:r>
      <w:proofErr w:type="gramStart"/>
      <w:r w:rsidR="00010A86">
        <w:t>et</w:t>
      </w:r>
      <w:proofErr w:type="gramEnd"/>
      <w:r w:rsidR="00010A86">
        <w:t xml:space="preserve">. al. (2013) and Park </w:t>
      </w:r>
      <w:proofErr w:type="gramStart"/>
      <w:r w:rsidR="00010A86">
        <w:t>et</w:t>
      </w:r>
      <w:proofErr w:type="gramEnd"/>
      <w:r w:rsidR="00010A86">
        <w:t>. al. (2013) also provides a good insight into the income that can be expected for young graduates by subject area and the level of the qualification.</w:t>
      </w:r>
    </w:p>
    <w:p w:rsidR="00C92ADC" w:rsidRDefault="00C92ADC" w:rsidP="00A95366">
      <w:pPr>
        <w:pStyle w:val="BodyText"/>
      </w:pPr>
      <w:r>
        <w:t>We have helped our understanding of how the subject of the qualification is associated with post-completion incomes by looking at associations between the subject</w:t>
      </w:r>
      <w:r w:rsidR="00A72E92">
        <w:t xml:space="preserve"> studied</w:t>
      </w:r>
      <w:r w:rsidR="00391506">
        <w:t xml:space="preserve"> and level of the qualification completed</w:t>
      </w:r>
      <w:r>
        <w:t xml:space="preserve">, </w:t>
      </w:r>
      <w:r w:rsidR="00391506">
        <w:t xml:space="preserve">and the graduate’s </w:t>
      </w:r>
      <w:r>
        <w:t>gender</w:t>
      </w:r>
      <w:r w:rsidR="00391506">
        <w:t xml:space="preserve"> and </w:t>
      </w:r>
      <w:r>
        <w:t xml:space="preserve">age. These results are described in Section </w:t>
      </w:r>
      <w:r w:rsidR="00D93852">
        <w:t>3</w:t>
      </w:r>
      <w:r>
        <w:t xml:space="preserve">. We found a strong association, especially for lower-level qualifications, between gender and subject. So in some respects, by controlling for gender </w:t>
      </w:r>
      <w:r w:rsidR="00A72E92">
        <w:t xml:space="preserve">and birth year </w:t>
      </w:r>
      <w:r>
        <w:t>we have taken into account some of the variation in outcomes due to the particular subject studied.</w:t>
      </w:r>
    </w:p>
    <w:p w:rsidR="001A75FF" w:rsidRDefault="001A75FF" w:rsidP="00D6092B">
      <w:pPr>
        <w:pStyle w:val="Heading2"/>
      </w:pPr>
      <w:bookmarkStart w:id="11" w:name="_Toc386449904"/>
      <w:r>
        <w:t>Type of job or industry of employment</w:t>
      </w:r>
      <w:bookmarkEnd w:id="11"/>
    </w:p>
    <w:p w:rsidR="007A2400" w:rsidRDefault="007A2400" w:rsidP="00A95366">
      <w:pPr>
        <w:pStyle w:val="BodyText"/>
      </w:pPr>
      <w:r>
        <w:t>A similar argument applies to the industry, or type of job a person holds.</w:t>
      </w:r>
      <w:r w:rsidR="005D5CC8">
        <w:t xml:space="preserve"> </w:t>
      </w:r>
      <w:r w:rsidR="00A72E92">
        <w:t xml:space="preserve">Including these factors in our models </w:t>
      </w:r>
      <w:r w:rsidR="005D5CC8">
        <w:t xml:space="preserve">would help to explain a large amount of the differences in people’s </w:t>
      </w:r>
      <w:r w:rsidR="00B70B32">
        <w:t xml:space="preserve">pre-study </w:t>
      </w:r>
      <w:r w:rsidR="00010A86">
        <w:t xml:space="preserve">and post-study </w:t>
      </w:r>
      <w:r w:rsidR="00B70B32">
        <w:t>income</w:t>
      </w:r>
      <w:r w:rsidR="00010A86">
        <w:t>s</w:t>
      </w:r>
      <w:r w:rsidR="005D5CC8">
        <w:t xml:space="preserve">. However, </w:t>
      </w:r>
      <w:r w:rsidR="00BE419F">
        <w:t>Inland Revenue</w:t>
      </w:r>
      <w:r w:rsidR="005D5CC8">
        <w:t xml:space="preserve"> </w:t>
      </w:r>
      <w:r w:rsidR="003B63A7">
        <w:t>income</w:t>
      </w:r>
      <w:r w:rsidR="0019368A">
        <w:t xml:space="preserve"> data d</w:t>
      </w:r>
      <w:r w:rsidR="005D5CC8">
        <w:t>oes</w:t>
      </w:r>
      <w:r w:rsidR="00A1063F">
        <w:t xml:space="preserve"> not contain people’s job titles</w:t>
      </w:r>
      <w:r w:rsidR="0019368A">
        <w:t>.</w:t>
      </w:r>
      <w:r w:rsidR="00672B57">
        <w:t xml:space="preserve"> But like </w:t>
      </w:r>
      <w:r w:rsidR="00010A86">
        <w:t xml:space="preserve">the subject of the </w:t>
      </w:r>
      <w:r w:rsidR="002735C4">
        <w:t>qualification</w:t>
      </w:r>
      <w:r w:rsidR="00672B57">
        <w:t>, it is not difficult to envisage, or to find out, which occupations or industries pay above the odds.</w:t>
      </w:r>
    </w:p>
    <w:p w:rsidR="001A75FF" w:rsidRDefault="001A75FF" w:rsidP="00D6092B">
      <w:pPr>
        <w:pStyle w:val="Heading2"/>
      </w:pPr>
      <w:bookmarkStart w:id="12" w:name="_Toc386449905"/>
      <w:r>
        <w:t>Type of tertiary study, full-time or part-time</w:t>
      </w:r>
      <w:bookmarkEnd w:id="12"/>
    </w:p>
    <w:p w:rsidR="00453E9B" w:rsidRDefault="00453E9B" w:rsidP="00453E9B">
      <w:pPr>
        <w:pStyle w:val="BodyText"/>
        <w:rPr>
          <w:szCs w:val="22"/>
        </w:rPr>
      </w:pPr>
      <w:r>
        <w:t xml:space="preserve">A variable that is usually included in studies </w:t>
      </w:r>
      <w:r w:rsidR="00F54C5E">
        <w:t>of</w:t>
      </w:r>
      <w:r>
        <w:t xml:space="preserve"> tertiary education is one that indicates whether a student studied </w:t>
      </w:r>
      <w:r w:rsidR="005D5CC8">
        <w:t xml:space="preserve">full-time </w:t>
      </w:r>
      <w:r>
        <w:t>or</w:t>
      </w:r>
      <w:r w:rsidR="005D5CC8" w:rsidRPr="005D5CC8">
        <w:t xml:space="preserve"> </w:t>
      </w:r>
      <w:r w:rsidR="005D5CC8">
        <w:t>part-time</w:t>
      </w:r>
      <w:r>
        <w:t>. Typically, full-time students are more likely to be younger, and proportionally more full-time students gain a qualification</w:t>
      </w:r>
      <w:r w:rsidR="00391506">
        <w:t xml:space="preserve"> (but see </w:t>
      </w:r>
      <w:proofErr w:type="spellStart"/>
      <w:r w:rsidR="00391506">
        <w:t>Engler</w:t>
      </w:r>
      <w:proofErr w:type="spellEnd"/>
      <w:r w:rsidR="00391506">
        <w:t xml:space="preserve"> (2012) for the impact of study type on non-bachelors qualifications when controlling for student ability)</w:t>
      </w:r>
      <w:r>
        <w:t xml:space="preserve">. We did not include the method of study in our analysis because principally we were interested in what happened </w:t>
      </w:r>
      <w:r w:rsidRPr="00391506">
        <w:rPr>
          <w:i/>
        </w:rPr>
        <w:t>after</w:t>
      </w:r>
      <w:r>
        <w:t xml:space="preserve"> someone studies. Had we included this variable, it might have </w:t>
      </w:r>
      <w:r w:rsidR="00331E3D">
        <w:t xml:space="preserve">helped to explain </w:t>
      </w:r>
      <w:r>
        <w:t xml:space="preserve">some of the variation in </w:t>
      </w:r>
      <w:r w:rsidR="00B70B32">
        <w:t>income</w:t>
      </w:r>
      <w:r>
        <w:t xml:space="preserve"> during the time someone was enrolled in tertiary study. </w:t>
      </w:r>
      <w:r>
        <w:rPr>
          <w:szCs w:val="22"/>
        </w:rPr>
        <w:t xml:space="preserve">Young </w:t>
      </w:r>
      <w:r w:rsidR="00391506">
        <w:rPr>
          <w:szCs w:val="22"/>
        </w:rPr>
        <w:t xml:space="preserve">men and women </w:t>
      </w:r>
      <w:r>
        <w:rPr>
          <w:szCs w:val="22"/>
        </w:rPr>
        <w:t>show a significant drop in income</w:t>
      </w:r>
      <w:r w:rsidR="00391506">
        <w:rPr>
          <w:szCs w:val="22"/>
        </w:rPr>
        <w:t xml:space="preserve"> while they are enrolled</w:t>
      </w:r>
      <w:r w:rsidR="00E30A37">
        <w:rPr>
          <w:szCs w:val="22"/>
        </w:rPr>
        <w:t xml:space="preserve"> in tertiary study</w:t>
      </w:r>
      <w:r>
        <w:rPr>
          <w:szCs w:val="22"/>
        </w:rPr>
        <w:t xml:space="preserve">, with </w:t>
      </w:r>
      <w:r w:rsidR="00391506">
        <w:rPr>
          <w:szCs w:val="22"/>
        </w:rPr>
        <w:t xml:space="preserve">the drop being larger for higher-level </w:t>
      </w:r>
      <w:r>
        <w:rPr>
          <w:szCs w:val="22"/>
        </w:rPr>
        <w:t>qualification</w:t>
      </w:r>
      <w:r w:rsidR="00391506">
        <w:rPr>
          <w:szCs w:val="22"/>
        </w:rPr>
        <w:t>s</w:t>
      </w:r>
      <w:r>
        <w:rPr>
          <w:szCs w:val="22"/>
        </w:rPr>
        <w:t>. Young</w:t>
      </w:r>
      <w:r w:rsidR="00331E3D">
        <w:rPr>
          <w:szCs w:val="22"/>
        </w:rPr>
        <w:t xml:space="preserve"> adults</w:t>
      </w:r>
      <w:r>
        <w:rPr>
          <w:szCs w:val="22"/>
        </w:rPr>
        <w:t xml:space="preserve"> are more likely to be studying full-time, so it is expected they might have a larger drop in their income</w:t>
      </w:r>
      <w:r w:rsidR="0012207A">
        <w:rPr>
          <w:szCs w:val="22"/>
        </w:rPr>
        <w:t>, on average</w:t>
      </w:r>
      <w:r>
        <w:rPr>
          <w:szCs w:val="22"/>
        </w:rPr>
        <w:t xml:space="preserve">. And since higher-level qualifications take longer, </w:t>
      </w:r>
      <w:r w:rsidR="006A181B">
        <w:rPr>
          <w:szCs w:val="22"/>
        </w:rPr>
        <w:t xml:space="preserve">and are more </w:t>
      </w:r>
      <w:r w:rsidR="006A181B">
        <w:rPr>
          <w:szCs w:val="22"/>
        </w:rPr>
        <w:lastRenderedPageBreak/>
        <w:t xml:space="preserve">intensive in terms of the commitment required, it is also reasonable </w:t>
      </w:r>
      <w:r w:rsidR="00331E3D">
        <w:rPr>
          <w:szCs w:val="22"/>
        </w:rPr>
        <w:t xml:space="preserve">to find </w:t>
      </w:r>
      <w:r w:rsidR="006A181B">
        <w:rPr>
          <w:szCs w:val="22"/>
        </w:rPr>
        <w:t>that studying for higher-level qualifications has a greater impact on income</w:t>
      </w:r>
      <w:r w:rsidR="00BA71C8">
        <w:rPr>
          <w:szCs w:val="22"/>
        </w:rPr>
        <w:t>s</w:t>
      </w:r>
      <w:r w:rsidR="0033498B">
        <w:rPr>
          <w:szCs w:val="22"/>
        </w:rPr>
        <w:t xml:space="preserve"> while someone is studying</w:t>
      </w:r>
      <w:r w:rsidR="006A181B">
        <w:rPr>
          <w:szCs w:val="22"/>
        </w:rPr>
        <w:t>.</w:t>
      </w:r>
    </w:p>
    <w:p w:rsidR="006A181B" w:rsidRDefault="006A181B" w:rsidP="00453E9B">
      <w:pPr>
        <w:pStyle w:val="BodyText"/>
        <w:rPr>
          <w:szCs w:val="22"/>
        </w:rPr>
      </w:pPr>
      <w:r>
        <w:rPr>
          <w:szCs w:val="22"/>
        </w:rPr>
        <w:t xml:space="preserve">For middle-aged people however, we </w:t>
      </w:r>
      <w:r w:rsidR="00C92ADC">
        <w:rPr>
          <w:szCs w:val="22"/>
        </w:rPr>
        <w:t>find</w:t>
      </w:r>
      <w:r>
        <w:rPr>
          <w:szCs w:val="22"/>
        </w:rPr>
        <w:t xml:space="preserve"> there is no significant impact on income for people </w:t>
      </w:r>
      <w:r w:rsidR="0033498B">
        <w:rPr>
          <w:szCs w:val="22"/>
        </w:rPr>
        <w:t>while they are studying for</w:t>
      </w:r>
      <w:r>
        <w:rPr>
          <w:szCs w:val="22"/>
        </w:rPr>
        <w:t xml:space="preserve"> lower-level qualifications. For people in these age groups</w:t>
      </w:r>
      <w:r w:rsidR="00331E3D">
        <w:rPr>
          <w:szCs w:val="22"/>
        </w:rPr>
        <w:t xml:space="preserve"> however</w:t>
      </w:r>
      <w:r>
        <w:rPr>
          <w:szCs w:val="22"/>
        </w:rPr>
        <w:t xml:space="preserve">, studying at higher-level qualifications is associated with a larger drop in income. Again, these patterns make sense from the point of view that shorter, less demanding study can be done part-time, which mitigates the effect that study </w:t>
      </w:r>
      <w:r w:rsidR="002E3DFC">
        <w:rPr>
          <w:szCs w:val="22"/>
        </w:rPr>
        <w:t xml:space="preserve">has </w:t>
      </w:r>
      <w:r>
        <w:rPr>
          <w:szCs w:val="22"/>
        </w:rPr>
        <w:t>on income, while longer, more intensive study</w:t>
      </w:r>
      <w:r w:rsidR="00C92ADC">
        <w:rPr>
          <w:szCs w:val="22"/>
        </w:rPr>
        <w:t>, with its corresponding greater time commitment,</w:t>
      </w:r>
      <w:r>
        <w:rPr>
          <w:szCs w:val="22"/>
        </w:rPr>
        <w:t xml:space="preserve"> has a correspondingly larger effect</w:t>
      </w:r>
      <w:r w:rsidR="00C92ADC">
        <w:rPr>
          <w:szCs w:val="22"/>
        </w:rPr>
        <w:t xml:space="preserve"> on income</w:t>
      </w:r>
      <w:r>
        <w:rPr>
          <w:szCs w:val="22"/>
        </w:rPr>
        <w:t>.</w:t>
      </w:r>
      <w:r w:rsidR="00B22368">
        <w:rPr>
          <w:szCs w:val="22"/>
        </w:rPr>
        <w:t xml:space="preserve"> But the magnitude of that effect for older people is less than that seen for young adults. It is likely that</w:t>
      </w:r>
      <w:r w:rsidR="00390DB5">
        <w:rPr>
          <w:szCs w:val="22"/>
        </w:rPr>
        <w:t xml:space="preserve"> </w:t>
      </w:r>
      <w:r w:rsidR="00B22368">
        <w:rPr>
          <w:szCs w:val="22"/>
        </w:rPr>
        <w:t>more</w:t>
      </w:r>
      <w:r w:rsidR="00391506">
        <w:rPr>
          <w:szCs w:val="22"/>
        </w:rPr>
        <w:t xml:space="preserve"> of the</w:t>
      </w:r>
      <w:r w:rsidR="00B22368">
        <w:rPr>
          <w:szCs w:val="22"/>
        </w:rPr>
        <w:t xml:space="preserve"> olde</w:t>
      </w:r>
      <w:r w:rsidR="00390DB5">
        <w:rPr>
          <w:szCs w:val="22"/>
        </w:rPr>
        <w:t>r people are studying part-time, which again limits</w:t>
      </w:r>
      <w:r w:rsidR="00B22368">
        <w:rPr>
          <w:szCs w:val="22"/>
        </w:rPr>
        <w:t xml:space="preserve"> the impact of </w:t>
      </w:r>
      <w:r w:rsidR="002E3DFC">
        <w:rPr>
          <w:szCs w:val="22"/>
        </w:rPr>
        <w:t>their</w:t>
      </w:r>
      <w:r w:rsidR="00390DB5">
        <w:rPr>
          <w:szCs w:val="22"/>
        </w:rPr>
        <w:t xml:space="preserve"> </w:t>
      </w:r>
      <w:r w:rsidR="00B22368">
        <w:rPr>
          <w:szCs w:val="22"/>
        </w:rPr>
        <w:t>study on their incomes.</w:t>
      </w:r>
    </w:p>
    <w:p w:rsidR="006A181B" w:rsidRPr="006A181B" w:rsidRDefault="006A181B" w:rsidP="00453E9B">
      <w:pPr>
        <w:pStyle w:val="BodyText"/>
        <w:rPr>
          <w:szCs w:val="22"/>
        </w:rPr>
      </w:pPr>
      <w:r>
        <w:rPr>
          <w:szCs w:val="22"/>
        </w:rPr>
        <w:t xml:space="preserve">A further avenue of investigation is whether or not </w:t>
      </w:r>
      <w:r w:rsidR="00B22368">
        <w:rPr>
          <w:szCs w:val="22"/>
        </w:rPr>
        <w:t>full-time or part-time study</w:t>
      </w:r>
      <w:r>
        <w:rPr>
          <w:szCs w:val="22"/>
        </w:rPr>
        <w:t xml:space="preserve"> has any </w:t>
      </w:r>
      <w:r w:rsidR="0033498B">
        <w:rPr>
          <w:szCs w:val="22"/>
        </w:rPr>
        <w:t xml:space="preserve">association with </w:t>
      </w:r>
      <w:r>
        <w:rPr>
          <w:szCs w:val="22"/>
        </w:rPr>
        <w:t xml:space="preserve">the step change in income on completing, or the </w:t>
      </w:r>
      <w:r w:rsidR="00C92ADC">
        <w:rPr>
          <w:szCs w:val="22"/>
        </w:rPr>
        <w:t>annual</w:t>
      </w:r>
      <w:r>
        <w:rPr>
          <w:szCs w:val="22"/>
        </w:rPr>
        <w:t xml:space="preserve"> change in income </w:t>
      </w:r>
      <w:r w:rsidR="00B22368">
        <w:rPr>
          <w:szCs w:val="22"/>
        </w:rPr>
        <w:t xml:space="preserve">after </w:t>
      </w:r>
      <w:r>
        <w:rPr>
          <w:szCs w:val="22"/>
        </w:rPr>
        <w:t>having studied</w:t>
      </w:r>
      <w:r w:rsidR="00C92ADC">
        <w:rPr>
          <w:szCs w:val="22"/>
        </w:rPr>
        <w:t xml:space="preserve"> or completed a qualification</w:t>
      </w:r>
      <w:r>
        <w:rPr>
          <w:szCs w:val="22"/>
        </w:rPr>
        <w:t>.</w:t>
      </w:r>
      <w:r w:rsidR="00331E3D">
        <w:rPr>
          <w:szCs w:val="22"/>
        </w:rPr>
        <w:t xml:space="preserve"> We have not pursued this line of enquiry in this study, partly because the type of study is a time</w:t>
      </w:r>
      <w:r w:rsidR="00EA627E">
        <w:rPr>
          <w:szCs w:val="22"/>
        </w:rPr>
        <w:t>-</w:t>
      </w:r>
      <w:r w:rsidR="00331E3D">
        <w:rPr>
          <w:szCs w:val="22"/>
        </w:rPr>
        <w:t xml:space="preserve">varying variable, and </w:t>
      </w:r>
      <w:r w:rsidR="00F54C5E">
        <w:rPr>
          <w:szCs w:val="22"/>
        </w:rPr>
        <w:t xml:space="preserve">it is not straightforward to assign </w:t>
      </w:r>
      <w:r w:rsidR="00331E3D">
        <w:rPr>
          <w:szCs w:val="22"/>
        </w:rPr>
        <w:t xml:space="preserve">a </w:t>
      </w:r>
      <w:r w:rsidR="00A72E92">
        <w:rPr>
          <w:szCs w:val="22"/>
        </w:rPr>
        <w:t xml:space="preserve">single </w:t>
      </w:r>
      <w:r w:rsidR="00331E3D">
        <w:rPr>
          <w:szCs w:val="22"/>
        </w:rPr>
        <w:t xml:space="preserve">status, full-time or part-time, to a </w:t>
      </w:r>
      <w:r w:rsidR="00F54C5E">
        <w:rPr>
          <w:szCs w:val="22"/>
        </w:rPr>
        <w:t>person’s study history</w:t>
      </w:r>
      <w:r w:rsidR="00331E3D">
        <w:rPr>
          <w:szCs w:val="22"/>
        </w:rPr>
        <w:t xml:space="preserve">. </w:t>
      </w:r>
      <w:r w:rsidR="00B22368">
        <w:rPr>
          <w:szCs w:val="22"/>
        </w:rPr>
        <w:t xml:space="preserve">We could have included it as a factor during enrolment, which might have partitioned the effect on income between these two methods of study. </w:t>
      </w:r>
      <w:r w:rsidR="00331E3D">
        <w:rPr>
          <w:szCs w:val="22"/>
        </w:rPr>
        <w:t xml:space="preserve">In our defence, we argue that including the type of study predominantly helps in understanding </w:t>
      </w:r>
      <w:r w:rsidR="00B22368">
        <w:rPr>
          <w:szCs w:val="22"/>
        </w:rPr>
        <w:t xml:space="preserve">the dynamics of </w:t>
      </w:r>
      <w:r w:rsidR="00331E3D">
        <w:rPr>
          <w:szCs w:val="22"/>
        </w:rPr>
        <w:t xml:space="preserve">income during study, while our focus </w:t>
      </w:r>
      <w:r w:rsidR="00B22368">
        <w:rPr>
          <w:szCs w:val="22"/>
        </w:rPr>
        <w:t xml:space="preserve">in this analysis </w:t>
      </w:r>
      <w:r w:rsidR="00331E3D">
        <w:rPr>
          <w:szCs w:val="22"/>
        </w:rPr>
        <w:t xml:space="preserve">is primarily on what happens </w:t>
      </w:r>
      <w:r w:rsidR="00F001CA">
        <w:rPr>
          <w:szCs w:val="22"/>
        </w:rPr>
        <w:t xml:space="preserve">to someone’s income </w:t>
      </w:r>
      <w:r w:rsidR="00331E3D">
        <w:rPr>
          <w:szCs w:val="22"/>
        </w:rPr>
        <w:t xml:space="preserve">after </w:t>
      </w:r>
      <w:r w:rsidR="006B45D9">
        <w:rPr>
          <w:szCs w:val="22"/>
        </w:rPr>
        <w:t xml:space="preserve">they finish their </w:t>
      </w:r>
      <w:r w:rsidR="00331E3D">
        <w:rPr>
          <w:szCs w:val="22"/>
        </w:rPr>
        <w:t>study.</w:t>
      </w:r>
    </w:p>
    <w:p w:rsidR="001A75FF" w:rsidRDefault="001A75FF" w:rsidP="00D6092B">
      <w:pPr>
        <w:pStyle w:val="Heading2"/>
      </w:pPr>
      <w:bookmarkStart w:id="13" w:name="_Toc386449906"/>
      <w:r>
        <w:t>Previous qualifications attained</w:t>
      </w:r>
      <w:bookmarkEnd w:id="13"/>
    </w:p>
    <w:p w:rsidR="00672B57" w:rsidRDefault="00672B57" w:rsidP="00A95366">
      <w:pPr>
        <w:pStyle w:val="BodyText"/>
      </w:pPr>
      <w:r>
        <w:t xml:space="preserve">Given how important completing a tertiary qualification is to someone’s income, one of the main limitations in </w:t>
      </w:r>
      <w:r w:rsidR="000E39FA">
        <w:t>our analysis</w:t>
      </w:r>
      <w:r>
        <w:t xml:space="preserve"> is our lack of knowledge about</w:t>
      </w:r>
      <w:r w:rsidR="006B45D9">
        <w:t xml:space="preserve"> the</w:t>
      </w:r>
      <w:r>
        <w:t xml:space="preserve"> </w:t>
      </w:r>
      <w:r>
        <w:rPr>
          <w:i/>
        </w:rPr>
        <w:t xml:space="preserve">prior </w:t>
      </w:r>
      <w:r>
        <w:t>qualifications a person might have</w:t>
      </w:r>
      <w:r w:rsidR="00F360DA">
        <w:t>, obtain</w:t>
      </w:r>
      <w:r w:rsidR="0019368A">
        <w:t>ed</w:t>
      </w:r>
      <w:r w:rsidR="00F360DA">
        <w:t xml:space="preserve"> </w:t>
      </w:r>
      <w:r w:rsidR="00BE419F">
        <w:t>before</w:t>
      </w:r>
      <w:r w:rsidR="00F360DA">
        <w:t xml:space="preserve"> 1999</w:t>
      </w:r>
      <w:r>
        <w:t xml:space="preserve">. The fact is we cannot control for prior qualifications with the data we have. We could have limited our study to </w:t>
      </w:r>
      <w:r w:rsidR="0089265E">
        <w:t>young adults</w:t>
      </w:r>
      <w:r>
        <w:t xml:space="preserve">, where we might have been able to </w:t>
      </w:r>
      <w:r w:rsidR="000E39FA">
        <w:t xml:space="preserve">determine their </w:t>
      </w:r>
      <w:r>
        <w:t>previous qualifications</w:t>
      </w:r>
      <w:r w:rsidR="009473FD">
        <w:t xml:space="preserve"> (or at least assumed that most wouldn’t have a previous tertiary qualification)</w:t>
      </w:r>
      <w:r>
        <w:t>, but</w:t>
      </w:r>
      <w:r w:rsidR="006B45D9">
        <w:t xml:space="preserve"> focussing only on younger students </w:t>
      </w:r>
      <w:r w:rsidR="000E39FA">
        <w:t>excludes</w:t>
      </w:r>
      <w:r w:rsidR="006B45D9">
        <w:t xml:space="preserve"> many people who are slow </w:t>
      </w:r>
      <w:r w:rsidR="009473FD">
        <w:t>at repaying their student</w:t>
      </w:r>
      <w:r w:rsidR="006B45D9">
        <w:t xml:space="preserve"> loan</w:t>
      </w:r>
      <w:r w:rsidR="009473FD">
        <w:t>s</w:t>
      </w:r>
      <w:r w:rsidR="006B45D9">
        <w:t>.</w:t>
      </w:r>
      <w:r>
        <w:t xml:space="preserve"> </w:t>
      </w:r>
      <w:r w:rsidR="00F001CA">
        <w:t xml:space="preserve">Much of the variation in </w:t>
      </w:r>
      <w:r w:rsidR="00B70B32">
        <w:t>pre-study income</w:t>
      </w:r>
      <w:r w:rsidR="00F001CA">
        <w:t xml:space="preserve">, particularly for older people, is probably related to </w:t>
      </w:r>
      <w:r w:rsidR="000E39FA">
        <w:t>their prior qualifications</w:t>
      </w:r>
      <w:r w:rsidR="00F001CA">
        <w:t xml:space="preserve">, which in turn affects what jobs people have, and </w:t>
      </w:r>
      <w:r w:rsidR="0033498B">
        <w:t xml:space="preserve">the </w:t>
      </w:r>
      <w:r w:rsidR="00F001CA">
        <w:t xml:space="preserve">industries they work in. </w:t>
      </w:r>
    </w:p>
    <w:p w:rsidR="001A75FF" w:rsidRDefault="001A75FF" w:rsidP="00D6092B">
      <w:pPr>
        <w:pStyle w:val="Heading2"/>
      </w:pPr>
      <w:bookmarkStart w:id="14" w:name="_Toc386449907"/>
      <w:r>
        <w:t>Size of student loan</w:t>
      </w:r>
      <w:bookmarkEnd w:id="14"/>
    </w:p>
    <w:p w:rsidR="00684C3A" w:rsidRDefault="00B87D9A" w:rsidP="00684C3A">
      <w:pPr>
        <w:pStyle w:val="BodyText"/>
      </w:pPr>
      <w:r>
        <w:t xml:space="preserve">There is evidence which suggests that a higher initial loan balance results in people being slower to start repaying their loan (Smyth and Hyatt 2005). However, we </w:t>
      </w:r>
      <w:r w:rsidR="00684C3A">
        <w:t xml:space="preserve">don’t include information about </w:t>
      </w:r>
      <w:r w:rsidR="00B249E4">
        <w:t xml:space="preserve">the size of someone’s </w:t>
      </w:r>
      <w:r w:rsidR="00684C3A">
        <w:t>student loan</w:t>
      </w:r>
      <w:r>
        <w:t xml:space="preserve"> in our models</w:t>
      </w:r>
      <w:r w:rsidR="00684C3A">
        <w:t>. The size of the loan</w:t>
      </w:r>
      <w:r w:rsidR="00F26A0D">
        <w:t xml:space="preserve">—and the level of income—will </w:t>
      </w:r>
      <w:r w:rsidR="00684C3A">
        <w:t xml:space="preserve">determine, to </w:t>
      </w:r>
      <w:r w:rsidR="005D0D15">
        <w:t>a great</w:t>
      </w:r>
      <w:r w:rsidR="00684C3A">
        <w:t xml:space="preserve"> extent, how long it takes to pay off </w:t>
      </w:r>
      <w:r w:rsidR="000E39FA">
        <w:t>a</w:t>
      </w:r>
      <w:r w:rsidR="00684C3A">
        <w:t xml:space="preserve"> loan.</w:t>
      </w:r>
      <w:r w:rsidR="000A1FAD">
        <w:t xml:space="preserve"> </w:t>
      </w:r>
      <w:r>
        <w:t>I</w:t>
      </w:r>
      <w:r w:rsidR="000A1FAD">
        <w:t xml:space="preserve">n our study </w:t>
      </w:r>
      <w:r w:rsidR="00684C3A">
        <w:t xml:space="preserve">we are more interested in whether a person is </w:t>
      </w:r>
      <w:r>
        <w:t>obliged</w:t>
      </w:r>
      <w:r w:rsidR="00684C3A">
        <w:t xml:space="preserve"> to </w:t>
      </w:r>
      <w:r w:rsidR="00005616">
        <w:t xml:space="preserve">start to </w:t>
      </w:r>
      <w:r w:rsidR="00684C3A">
        <w:t>pay off their loan, rather than how long it takes them</w:t>
      </w:r>
      <w:r w:rsidR="006A7C72">
        <w:t xml:space="preserve"> to do so</w:t>
      </w:r>
      <w:r w:rsidR="00C345A1">
        <w:t xml:space="preserve">. </w:t>
      </w:r>
      <w:r w:rsidR="000E39FA">
        <w:t>Generally</w:t>
      </w:r>
      <w:r w:rsidR="00C345A1">
        <w:t xml:space="preserve">, larger loans are associated with qualifications that take longer to complete, or which are regarded as more prestigious, </w:t>
      </w:r>
      <w:r w:rsidR="00390DB5">
        <w:t>which</w:t>
      </w:r>
      <w:r w:rsidR="006A7C72">
        <w:t xml:space="preserve"> in turn</w:t>
      </w:r>
      <w:r w:rsidR="00390DB5">
        <w:t xml:space="preserve"> </w:t>
      </w:r>
      <w:r w:rsidR="005D0D15">
        <w:t>are</w:t>
      </w:r>
      <w:r w:rsidR="00390DB5">
        <w:t xml:space="preserve"> associated with </w:t>
      </w:r>
      <w:r w:rsidR="006A7C72">
        <w:t>higher-</w:t>
      </w:r>
      <w:r w:rsidR="00C345A1">
        <w:t xml:space="preserve">paid </w:t>
      </w:r>
      <w:r w:rsidR="00A72E92">
        <w:t xml:space="preserve">graduate </w:t>
      </w:r>
      <w:r w:rsidR="00C345A1">
        <w:t>employment</w:t>
      </w:r>
      <w:r>
        <w:t>, at least in the longer term</w:t>
      </w:r>
      <w:r w:rsidR="00C345A1">
        <w:t xml:space="preserve">. Doctorates and masters degrees, and medical, veterinary and law degrees fall into this category. </w:t>
      </w:r>
      <w:r w:rsidR="006A7C72">
        <w:t>And h</w:t>
      </w:r>
      <w:r w:rsidR="00BD5450">
        <w:t>aving a higher income means it’s more likely someone will be able to</w:t>
      </w:r>
      <w:r w:rsidR="005D0D15">
        <w:t xml:space="preserve"> </w:t>
      </w:r>
      <w:r w:rsidR="00043430">
        <w:t>make student loan repayments</w:t>
      </w:r>
      <w:r w:rsidR="005D0D15">
        <w:t>.</w:t>
      </w:r>
      <w:r w:rsidR="009473FD">
        <w:t xml:space="preserve"> On the other hand, the more specialised the qualification, the more difficult it might be to find employment, </w:t>
      </w:r>
      <w:r w:rsidR="00A72E92">
        <w:t xml:space="preserve">or find employment in New Zealand, </w:t>
      </w:r>
      <w:r w:rsidR="009473FD">
        <w:t>which might delay the start of loan repayments.</w:t>
      </w:r>
    </w:p>
    <w:p w:rsidR="000E39FA" w:rsidRPr="00672B57" w:rsidRDefault="00B87D9A" w:rsidP="00684C3A">
      <w:pPr>
        <w:pStyle w:val="BodyText"/>
      </w:pPr>
      <w:r>
        <w:t>However, if</w:t>
      </w:r>
      <w:r w:rsidR="000E39FA">
        <w:t xml:space="preserve"> the loan is </w:t>
      </w:r>
      <w:r w:rsidR="009473FD">
        <w:t xml:space="preserve">larger </w:t>
      </w:r>
      <w:r w:rsidR="000E39FA">
        <w:t xml:space="preserve">because someone </w:t>
      </w:r>
      <w:r>
        <w:t xml:space="preserve">takes out several student loans to </w:t>
      </w:r>
      <w:r w:rsidR="000E39FA">
        <w:t>gain</w:t>
      </w:r>
      <w:r>
        <w:t xml:space="preserve"> multiple</w:t>
      </w:r>
      <w:r w:rsidR="000E39FA">
        <w:t xml:space="preserve"> qualifications, particularly in subject areas with little prospect</w:t>
      </w:r>
      <w:r w:rsidR="00F54C5E">
        <w:t xml:space="preserve"> of</w:t>
      </w:r>
      <w:r w:rsidR="000E39FA">
        <w:t xml:space="preserve"> employment, this might be an </w:t>
      </w:r>
      <w:r w:rsidR="000E39FA">
        <w:lastRenderedPageBreak/>
        <w:t xml:space="preserve">important explanatory variable associated with non-repayment of student loans. This could be an area for further study. </w:t>
      </w:r>
    </w:p>
    <w:p w:rsidR="001A75FF" w:rsidRDefault="001A75FF" w:rsidP="00D6092B">
      <w:pPr>
        <w:pStyle w:val="Heading2"/>
      </w:pPr>
      <w:bookmarkStart w:id="15" w:name="_Toc386449908"/>
      <w:r>
        <w:t>Eas</w:t>
      </w:r>
      <w:r w:rsidR="00893D86">
        <w:t>e</w:t>
      </w:r>
      <w:r>
        <w:t xml:space="preserve"> of repayment</w:t>
      </w:r>
      <w:bookmarkEnd w:id="15"/>
    </w:p>
    <w:p w:rsidR="00C345A1" w:rsidRDefault="00C345A1" w:rsidP="00665610">
      <w:pPr>
        <w:pStyle w:val="BodyText"/>
      </w:pPr>
      <w:r>
        <w:t xml:space="preserve">If someone </w:t>
      </w:r>
      <w:r w:rsidR="00B87D9A">
        <w:t>has an income</w:t>
      </w:r>
      <w:r>
        <w:t xml:space="preserve"> above the student loan repayment threshold, this does not mean </w:t>
      </w:r>
      <w:r w:rsidR="000E4585">
        <w:t>making the repayments will be easy</w:t>
      </w:r>
      <w:r>
        <w:t>—it depends on their other financial commitments and obligations.</w:t>
      </w:r>
      <w:r w:rsidR="000E4585">
        <w:rPr>
          <w:rStyle w:val="FootnoteReference"/>
        </w:rPr>
        <w:footnoteReference w:id="11"/>
      </w:r>
      <w:r w:rsidR="000E4585">
        <w:t xml:space="preserve"> </w:t>
      </w:r>
      <w:r>
        <w:t xml:space="preserve">This </w:t>
      </w:r>
      <w:r w:rsidR="0020600C">
        <w:t>applies more</w:t>
      </w:r>
      <w:r w:rsidR="0033498B">
        <w:t xml:space="preserve"> </w:t>
      </w:r>
      <w:r>
        <w:t>to people who</w:t>
      </w:r>
      <w:r w:rsidR="00BD5450">
        <w:t>se</w:t>
      </w:r>
      <w:r>
        <w:t xml:space="preserve"> incomes are closer to the repayment threshold, and whose income trajectories are relatively flat, suggesting they might struggle with increases in the cost of living</w:t>
      </w:r>
      <w:r w:rsidR="006A7C72">
        <w:t xml:space="preserve">, or have difficulty dealing with unforeseen </w:t>
      </w:r>
      <w:r w:rsidR="00AC7943">
        <w:t xml:space="preserve">changes </w:t>
      </w:r>
      <w:r w:rsidR="000E4585">
        <w:t>in</w:t>
      </w:r>
      <w:r w:rsidR="00AC7943">
        <w:t xml:space="preserve"> their </w:t>
      </w:r>
      <w:r w:rsidR="001A75FF">
        <w:t xml:space="preserve">financial </w:t>
      </w:r>
      <w:r w:rsidR="006A7C72">
        <w:t>circumstances</w:t>
      </w:r>
      <w:r>
        <w:t xml:space="preserve">. Again, our study is focussed on whether someone is obliged to </w:t>
      </w:r>
      <w:r w:rsidR="0020600C">
        <w:t xml:space="preserve">start </w:t>
      </w:r>
      <w:r>
        <w:t>repay</w:t>
      </w:r>
      <w:r w:rsidR="0020600C">
        <w:t>ing</w:t>
      </w:r>
      <w:r>
        <w:t xml:space="preserve"> their loan by virtue of them </w:t>
      </w:r>
      <w:r w:rsidR="00F92D21">
        <w:t>having an income</w:t>
      </w:r>
      <w:r>
        <w:t xml:space="preserve"> above the repayment threshold. </w:t>
      </w:r>
      <w:r w:rsidR="000E4585">
        <w:t>But</w:t>
      </w:r>
      <w:r w:rsidR="00390DB5">
        <w:t xml:space="preserve"> predicting that someone has reached the student loan repayment threshold doesn’t necessarily mean they can, or do,</w:t>
      </w:r>
      <w:r w:rsidR="00243F73">
        <w:t xml:space="preserve"> start to </w:t>
      </w:r>
      <w:r w:rsidR="00390DB5">
        <w:t>pay off their</w:t>
      </w:r>
      <w:r w:rsidR="00F92D21">
        <w:t xml:space="preserve"> student</w:t>
      </w:r>
      <w:r w:rsidR="00390DB5">
        <w:t xml:space="preserve"> loan.</w:t>
      </w:r>
    </w:p>
    <w:p w:rsidR="00AE6D94" w:rsidRDefault="00AE6D94" w:rsidP="00D6092B">
      <w:pPr>
        <w:pStyle w:val="Heading2"/>
      </w:pPr>
      <w:bookmarkStart w:id="16" w:name="_Toc386449909"/>
      <w:r>
        <w:t>Type of benefit</w:t>
      </w:r>
      <w:bookmarkEnd w:id="16"/>
    </w:p>
    <w:p w:rsidR="005D131C" w:rsidRPr="005D131C" w:rsidRDefault="005D131C" w:rsidP="005D131C">
      <w:pPr>
        <w:pStyle w:val="BodyText"/>
      </w:pPr>
      <w:r>
        <w:t xml:space="preserve">In our study, we controlled for whether someone was in receipt of a benefit or not. We </w:t>
      </w:r>
      <w:r w:rsidR="00243F73">
        <w:t xml:space="preserve">also investigated </w:t>
      </w:r>
      <w:r>
        <w:t>the length of time on a benefit (see next section) and what type of benefit was being received.</w:t>
      </w:r>
    </w:p>
    <w:p w:rsidR="005D131C" w:rsidRDefault="00243F73" w:rsidP="005D131C">
      <w:pPr>
        <w:pStyle w:val="BodyText"/>
      </w:pPr>
      <w:r>
        <w:t xml:space="preserve">Figure </w:t>
      </w:r>
      <w:r w:rsidR="00E0617A">
        <w:t>5</w:t>
      </w:r>
      <w:r w:rsidR="005D131C">
        <w:t xml:space="preserve"> shows the proportion of beneficiaries in our </w:t>
      </w:r>
      <w:r w:rsidR="00C00316">
        <w:t xml:space="preserve">low-income </w:t>
      </w:r>
      <w:r w:rsidR="005D131C">
        <w:t>study population</w:t>
      </w:r>
      <w:r w:rsidR="00C00316">
        <w:t>s</w:t>
      </w:r>
      <w:r w:rsidR="005D131C">
        <w:t xml:space="preserve"> across time for men and women in the </w:t>
      </w:r>
      <w:r w:rsidR="00AF39CE">
        <w:t>three</w:t>
      </w:r>
      <w:r w:rsidR="005D131C">
        <w:t xml:space="preserve"> different </w:t>
      </w:r>
      <w:r w:rsidR="00435CBD">
        <w:t xml:space="preserve">birth year cohorts </w:t>
      </w:r>
      <w:r w:rsidR="005D131C">
        <w:t xml:space="preserve">used in our analysis. It is clear there is a strong association </w:t>
      </w:r>
      <w:r w:rsidR="00435CBD">
        <w:t>between</w:t>
      </w:r>
      <w:r w:rsidR="005D131C">
        <w:t xml:space="preserve"> the type of benefit and </w:t>
      </w:r>
      <w:r w:rsidR="00E87DCB">
        <w:t>sex</w:t>
      </w:r>
      <w:r w:rsidR="005D131C">
        <w:t xml:space="preserve">; men on a benefit are far more likely to be on the unemployment benefit, while women </w:t>
      </w:r>
      <w:r w:rsidR="00C00316">
        <w:t xml:space="preserve">if they are on a benefit </w:t>
      </w:r>
      <w:r w:rsidR="005D131C">
        <w:t>are far more likely to be on the domestic purposes benefit.</w:t>
      </w:r>
      <w:r w:rsidR="008A623C">
        <w:rPr>
          <w:rStyle w:val="FootnoteReference"/>
        </w:rPr>
        <w:footnoteReference w:id="12"/>
      </w:r>
      <w:r w:rsidR="005D131C">
        <w:t xml:space="preserve"> Young women, like men, are also more likely to be on the unemployment benefit if they are in receipt of a benefit at all. The other benefit types—sickness, invalids, widows, emergency and hardship, independent youth and orphan and unsupported child benefits—are far less prevalent than these two main benefit types.</w:t>
      </w:r>
    </w:p>
    <w:p w:rsidR="0033498B" w:rsidRDefault="0033498B" w:rsidP="00C2670F">
      <w:pPr>
        <w:pStyle w:val="BodyText"/>
      </w:pPr>
      <w:bookmarkStart w:id="17" w:name="_Ref356894228"/>
      <w:r>
        <w:t xml:space="preserve">This separation of the benefit types </w:t>
      </w:r>
      <w:r w:rsidR="00E87DCB">
        <w:t>for men and women</w:t>
      </w:r>
      <w:r>
        <w:t xml:space="preserve"> makes it difficult to include both gender and benefit type in our models</w:t>
      </w:r>
      <w:r w:rsidR="00C00316">
        <w:t xml:space="preserve"> at the same time</w:t>
      </w:r>
      <w:r>
        <w:t xml:space="preserve">. This is because there are too few men on the domestic purposes benefit, and women on the unemployment benefit, for the models to be robust. In general terms, gender can be regarded as a proxy for benefit type, notwithstanding the result for young women. This should be borne in mind when interpreting the results. </w:t>
      </w:r>
    </w:p>
    <w:p w:rsidR="00243F73" w:rsidRDefault="00243F73" w:rsidP="00C2670F">
      <w:pPr>
        <w:pStyle w:val="BodyText"/>
      </w:pPr>
      <w:r>
        <w:t xml:space="preserve">The other clear trend is a decline in the proportion of people on a benefit over time. We are not sure this is a general trend with age, or the fact that the study period, 1999 to 2008 coincided </w:t>
      </w:r>
      <w:r w:rsidRPr="00C00316">
        <w:t xml:space="preserve">with improving economic and labour market conditions in New Zealand (see </w:t>
      </w:r>
      <w:r w:rsidR="00C00316">
        <w:t xml:space="preserve">Figures </w:t>
      </w:r>
      <w:r w:rsidR="00E87DCB">
        <w:t>6 to</w:t>
      </w:r>
      <w:r w:rsidR="00C00316">
        <w:t xml:space="preserve"> </w:t>
      </w:r>
      <w:r w:rsidR="00E0617A">
        <w:t>8</w:t>
      </w:r>
      <w:r w:rsidRPr="00C00316">
        <w:t>).</w:t>
      </w:r>
      <w:r>
        <w:t xml:space="preserve"> This would certainly have reduced the proportion of people requiring unemployment benefits, but we are unsure whether it would have had the same effect on the incidence of being on the domestic purposes benefit. </w:t>
      </w:r>
      <w:r w:rsidR="00C00316">
        <w:t>More likely the decline</w:t>
      </w:r>
      <w:r w:rsidR="00477B95">
        <w:t xml:space="preserve"> in the proportion of women on the DPB</w:t>
      </w:r>
      <w:r w:rsidR="00C00316">
        <w:t xml:space="preserve"> is associated with age, where </w:t>
      </w:r>
      <w:r>
        <w:t xml:space="preserve">women’s caring responsibilities </w:t>
      </w:r>
      <w:r w:rsidR="00477B95">
        <w:t>reduce</w:t>
      </w:r>
      <w:r>
        <w:t xml:space="preserve"> as their children </w:t>
      </w:r>
      <w:proofErr w:type="gramStart"/>
      <w:r>
        <w:t>grow</w:t>
      </w:r>
      <w:proofErr w:type="gramEnd"/>
      <w:r w:rsidR="00C2670F">
        <w:t xml:space="preserve"> </w:t>
      </w:r>
      <w:r>
        <w:t>older, reducing the need for them to receive this benefit.</w:t>
      </w:r>
      <w:r w:rsidR="00C2670F">
        <w:t xml:space="preserve"> This trend is evident in the figure.</w:t>
      </w:r>
    </w:p>
    <w:p w:rsidR="005D131C" w:rsidRPr="004D2C0C" w:rsidRDefault="005D131C" w:rsidP="005D131C">
      <w:pPr>
        <w:pStyle w:val="Caption"/>
        <w:rPr>
          <w:sz w:val="16"/>
        </w:rPr>
      </w:pPr>
      <w:proofErr w:type="gramStart"/>
      <w:r w:rsidRPr="004D2C0C">
        <w:rPr>
          <w:sz w:val="16"/>
        </w:rPr>
        <w:lastRenderedPageBreak/>
        <w:t xml:space="preserve">Figure </w:t>
      </w:r>
      <w:r w:rsidR="0092253D" w:rsidRPr="004D2C0C">
        <w:rPr>
          <w:sz w:val="16"/>
        </w:rPr>
        <w:fldChar w:fldCharType="begin"/>
      </w:r>
      <w:r w:rsidRPr="004D2C0C">
        <w:rPr>
          <w:sz w:val="16"/>
        </w:rPr>
        <w:instrText xml:space="preserve"> SEQ Figure \* ARABIC </w:instrText>
      </w:r>
      <w:r w:rsidR="0092253D" w:rsidRPr="004D2C0C">
        <w:rPr>
          <w:sz w:val="16"/>
        </w:rPr>
        <w:fldChar w:fldCharType="separate"/>
      </w:r>
      <w:r w:rsidR="00D15EF8">
        <w:rPr>
          <w:noProof/>
          <w:sz w:val="16"/>
        </w:rPr>
        <w:t>5</w:t>
      </w:r>
      <w:r w:rsidR="0092253D" w:rsidRPr="004D2C0C">
        <w:rPr>
          <w:sz w:val="16"/>
        </w:rPr>
        <w:fldChar w:fldCharType="end"/>
      </w:r>
      <w:bookmarkEnd w:id="17"/>
      <w:r w:rsidRPr="004D2C0C">
        <w:rPr>
          <w:sz w:val="16"/>
        </w:rPr>
        <w:t>.</w:t>
      </w:r>
      <w:proofErr w:type="gramEnd"/>
      <w:r w:rsidRPr="004D2C0C">
        <w:rPr>
          <w:sz w:val="16"/>
        </w:rPr>
        <w:t xml:space="preserve"> </w:t>
      </w:r>
      <w:r w:rsidRPr="004D2C0C">
        <w:rPr>
          <w:b w:val="0"/>
          <w:sz w:val="16"/>
        </w:rPr>
        <w:t>Proportions of the study populations on unemployment and domestic purposes benefits across time, by age</w:t>
      </w:r>
      <w:r w:rsidR="00D0616D">
        <w:rPr>
          <w:b w:val="0"/>
          <w:sz w:val="16"/>
        </w:rPr>
        <w:t xml:space="preserve"> in 1999 </w:t>
      </w:r>
      <w:r w:rsidRPr="004D2C0C">
        <w:rPr>
          <w:b w:val="0"/>
          <w:sz w:val="16"/>
        </w:rPr>
        <w:t>and gender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2"/>
        <w:gridCol w:w="4253"/>
      </w:tblGrid>
      <w:tr w:rsidR="005D131C" w:rsidTr="005D131C">
        <w:tc>
          <w:tcPr>
            <w:tcW w:w="4252" w:type="dxa"/>
          </w:tcPr>
          <w:p w:rsidR="005D131C" w:rsidRDefault="000B6FDF" w:rsidP="005D131C">
            <w:pPr>
              <w:ind w:left="-108"/>
            </w:pPr>
            <w:r>
              <w:rPr>
                <w:noProof/>
                <w:lang w:eastAsia="en-NZ"/>
              </w:rPr>
              <w:drawing>
                <wp:inline distT="0" distB="0" distL="0" distR="0">
                  <wp:extent cx="2579200" cy="18387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579200" cy="1838720"/>
                          </a:xfrm>
                          <a:prstGeom prst="rect">
                            <a:avLst/>
                          </a:prstGeom>
                          <a:noFill/>
                          <a:ln w="9525">
                            <a:noFill/>
                            <a:miter lim="800000"/>
                            <a:headEnd/>
                            <a:tailEnd/>
                          </a:ln>
                        </pic:spPr>
                      </pic:pic>
                    </a:graphicData>
                  </a:graphic>
                </wp:inline>
              </w:drawing>
            </w:r>
          </w:p>
        </w:tc>
        <w:tc>
          <w:tcPr>
            <w:tcW w:w="4253" w:type="dxa"/>
          </w:tcPr>
          <w:p w:rsidR="005D131C" w:rsidRDefault="000B6FDF" w:rsidP="005D131C">
            <w:pPr>
              <w:ind w:left="-107"/>
            </w:pPr>
            <w:r>
              <w:rPr>
                <w:noProof/>
                <w:lang w:eastAsia="en-NZ"/>
              </w:rPr>
              <w:drawing>
                <wp:inline distT="0" distB="0" distL="0" distR="0">
                  <wp:extent cx="2579200" cy="183872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2579200" cy="1838720"/>
                          </a:xfrm>
                          <a:prstGeom prst="rect">
                            <a:avLst/>
                          </a:prstGeom>
                          <a:noFill/>
                          <a:ln w="9525">
                            <a:noFill/>
                            <a:miter lim="800000"/>
                            <a:headEnd/>
                            <a:tailEnd/>
                          </a:ln>
                        </pic:spPr>
                      </pic:pic>
                    </a:graphicData>
                  </a:graphic>
                </wp:inline>
              </w:drawing>
            </w:r>
          </w:p>
        </w:tc>
      </w:tr>
      <w:tr w:rsidR="005D131C" w:rsidTr="005D131C">
        <w:tc>
          <w:tcPr>
            <w:tcW w:w="4252" w:type="dxa"/>
          </w:tcPr>
          <w:p w:rsidR="005D131C" w:rsidRDefault="000B6FDF" w:rsidP="005D131C">
            <w:pPr>
              <w:ind w:left="-108"/>
            </w:pPr>
            <w:r>
              <w:rPr>
                <w:noProof/>
                <w:lang w:eastAsia="en-NZ"/>
              </w:rPr>
              <w:drawing>
                <wp:inline distT="0" distB="0" distL="0" distR="0">
                  <wp:extent cx="2579200" cy="183872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2579200" cy="1838720"/>
                          </a:xfrm>
                          <a:prstGeom prst="rect">
                            <a:avLst/>
                          </a:prstGeom>
                          <a:noFill/>
                          <a:ln w="9525">
                            <a:noFill/>
                            <a:miter lim="800000"/>
                            <a:headEnd/>
                            <a:tailEnd/>
                          </a:ln>
                        </pic:spPr>
                      </pic:pic>
                    </a:graphicData>
                  </a:graphic>
                </wp:inline>
              </w:drawing>
            </w:r>
          </w:p>
        </w:tc>
        <w:tc>
          <w:tcPr>
            <w:tcW w:w="4253" w:type="dxa"/>
          </w:tcPr>
          <w:p w:rsidR="005D131C" w:rsidRDefault="000B6FDF" w:rsidP="005D131C">
            <w:pPr>
              <w:ind w:left="-107"/>
            </w:pPr>
            <w:r>
              <w:rPr>
                <w:noProof/>
                <w:lang w:eastAsia="en-NZ"/>
              </w:rPr>
              <w:drawing>
                <wp:inline distT="0" distB="0" distL="0" distR="0">
                  <wp:extent cx="2579200" cy="183872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2579200" cy="1838720"/>
                          </a:xfrm>
                          <a:prstGeom prst="rect">
                            <a:avLst/>
                          </a:prstGeom>
                          <a:noFill/>
                          <a:ln w="9525">
                            <a:noFill/>
                            <a:miter lim="800000"/>
                            <a:headEnd/>
                            <a:tailEnd/>
                          </a:ln>
                        </pic:spPr>
                      </pic:pic>
                    </a:graphicData>
                  </a:graphic>
                </wp:inline>
              </w:drawing>
            </w:r>
          </w:p>
        </w:tc>
      </w:tr>
    </w:tbl>
    <w:p w:rsidR="004D2C0C" w:rsidRPr="004D2C0C" w:rsidRDefault="004D2C0C" w:rsidP="004D2C0C">
      <w:pPr>
        <w:spacing w:before="120" w:after="240"/>
        <w:rPr>
          <w:rFonts w:ascii="Arial" w:hAnsi="Arial" w:cs="Arial"/>
          <w:sz w:val="16"/>
          <w:szCs w:val="16"/>
        </w:rPr>
      </w:pPr>
      <w:r w:rsidRPr="004D2C0C">
        <w:rPr>
          <w:rFonts w:ascii="Arial" w:hAnsi="Arial" w:cs="Arial"/>
          <w:sz w:val="16"/>
          <w:szCs w:val="16"/>
        </w:rPr>
        <w:t xml:space="preserve">Source: Statistics New Zealand, Integrated Data Infrastructure, Ministry of Education interpretation. </w:t>
      </w:r>
    </w:p>
    <w:p w:rsidR="005D131C" w:rsidRDefault="005D131C" w:rsidP="00D6092B">
      <w:pPr>
        <w:pStyle w:val="Heading2"/>
      </w:pPr>
      <w:bookmarkStart w:id="18" w:name="_Toc386449910"/>
      <w:r>
        <w:t>Length of time on a benefit</w:t>
      </w:r>
      <w:bookmarkEnd w:id="18"/>
    </w:p>
    <w:p w:rsidR="00205C15" w:rsidRDefault="008E0C64" w:rsidP="008E0C64">
      <w:pPr>
        <w:pStyle w:val="BodyText"/>
      </w:pPr>
      <w:r>
        <w:t>Being on a benefit can be modelled as a binary</w:t>
      </w:r>
      <w:r w:rsidR="00E87DCB">
        <w:t xml:space="preserve"> as we did</w:t>
      </w:r>
      <w:r>
        <w:t xml:space="preserve"> (either on or not on a benefit), or as months per year on a benefit. </w:t>
      </w:r>
      <w:r w:rsidR="00205C15">
        <w:t xml:space="preserve">Clearly the longer someone is on a benefit, the less access they have to the labour market. </w:t>
      </w:r>
      <w:r>
        <w:t xml:space="preserve">We </w:t>
      </w:r>
      <w:r w:rsidR="00205C15">
        <w:t xml:space="preserve">investigated using </w:t>
      </w:r>
      <w:r>
        <w:t>months on a benefit</w:t>
      </w:r>
      <w:r w:rsidR="00205C15">
        <w:t xml:space="preserve"> as a variable in our models</w:t>
      </w:r>
      <w:r>
        <w:t xml:space="preserve">, and </w:t>
      </w:r>
      <w:r w:rsidR="00205C15">
        <w:t xml:space="preserve">the results showed that increasing months on a benefit progressively </w:t>
      </w:r>
      <w:r w:rsidR="00435CBD">
        <w:t>reduced</w:t>
      </w:r>
      <w:r w:rsidR="00205C15">
        <w:t xml:space="preserve"> the </w:t>
      </w:r>
      <w:r w:rsidR="00435CBD">
        <w:t xml:space="preserve">positive </w:t>
      </w:r>
      <w:r w:rsidR="00205C15">
        <w:t xml:space="preserve">effects of completing a qualification. However, the </w:t>
      </w:r>
      <w:r w:rsidR="00D71DB5">
        <w:t xml:space="preserve">distribution of people across the one to twelve months on a benefit each year is not uniform. </w:t>
      </w:r>
      <w:r w:rsidR="00205C15">
        <w:t xml:space="preserve">This uneven distribution </w:t>
      </w:r>
      <w:r w:rsidR="00435CBD">
        <w:t xml:space="preserve">of months on a benefit </w:t>
      </w:r>
      <w:r w:rsidR="00205C15">
        <w:t>meant the models using a binary representation of benefit status were</w:t>
      </w:r>
      <w:r w:rsidR="00E87DCB">
        <w:t xml:space="preserve"> slightly</w:t>
      </w:r>
      <w:r w:rsidR="00205C15">
        <w:t xml:space="preserve"> better</w:t>
      </w:r>
      <w:r w:rsidR="00435CBD">
        <w:t xml:space="preserve"> models</w:t>
      </w:r>
      <w:r w:rsidR="00205C15">
        <w:t>.</w:t>
      </w:r>
    </w:p>
    <w:p w:rsidR="00D71DB5" w:rsidRDefault="00D71DB5" w:rsidP="00D71DB5">
      <w:pPr>
        <w:pStyle w:val="BodyText"/>
        <w:spacing w:after="120"/>
      </w:pPr>
    </w:p>
    <w:p w:rsidR="005B2A88" w:rsidRPr="00620C59" w:rsidRDefault="005B2A88" w:rsidP="005B2A88">
      <w:pPr>
        <w:pStyle w:val="BodyText"/>
      </w:pPr>
      <w:r>
        <w:t>The effect of these decisions on how to include benefit status in our modelling is that our</w:t>
      </w:r>
      <w:r w:rsidRPr="00265F70">
        <w:t xml:space="preserve"> models</w:t>
      </w:r>
      <w:r>
        <w:t xml:space="preserve"> capture the </w:t>
      </w:r>
      <w:r>
        <w:rPr>
          <w:i/>
        </w:rPr>
        <w:t xml:space="preserve">average </w:t>
      </w:r>
      <w:r>
        <w:t xml:space="preserve">time spent on a benefit, for the </w:t>
      </w:r>
      <w:r>
        <w:rPr>
          <w:i/>
        </w:rPr>
        <w:t xml:space="preserve">average </w:t>
      </w:r>
      <w:r>
        <w:t>benefit type. The average time spent on a benefit varies with the type of benefit, and the average benefit type will vary with gender</w:t>
      </w:r>
      <w:r w:rsidR="00D71DB5">
        <w:t xml:space="preserve"> and age</w:t>
      </w:r>
      <w:r>
        <w:t>.</w:t>
      </w:r>
      <w:r w:rsidR="00D71DB5">
        <w:t xml:space="preserve"> We think it is probably best to regard benefit status as a type of proxy for access to the labour market. People not in receipt of any benefit would have good access to the labour market, while those on a benefit would have some type of restriction placed on their ability to find or keep work. These restrictions will vary with gender, and with age, but the effect is that people’s income would be compromised somewhat by not being able to work for one or</w:t>
      </w:r>
      <w:r w:rsidR="00E87DCB">
        <w:t xml:space="preserve"> more</w:t>
      </w:r>
      <w:r w:rsidR="00D71DB5">
        <w:t xml:space="preserve"> months in a year. The average income trajectories we see in our results, where the average incomes for those on a benefit are usually lower than those not on a benefit, </w:t>
      </w:r>
      <w:r w:rsidR="005346C7">
        <w:t xml:space="preserve">particularly after completing study, </w:t>
      </w:r>
      <w:r w:rsidR="00D71DB5">
        <w:t>seem to bear this out. This interpretation is even more compelling considering that it is usually a</w:t>
      </w:r>
      <w:r w:rsidR="00E87DCB">
        <w:t>n</w:t>
      </w:r>
      <w:r w:rsidR="00D71DB5">
        <w:t xml:space="preserve"> event—losing a job, or having a child—which results in the benefit being received. It is not that being on a benefit causes the lower income.</w:t>
      </w:r>
    </w:p>
    <w:p w:rsidR="00453E9B" w:rsidRDefault="00453E9B" w:rsidP="00D6092B">
      <w:pPr>
        <w:pStyle w:val="Heading2"/>
      </w:pPr>
      <w:bookmarkStart w:id="19" w:name="_Toc386449911"/>
      <w:r>
        <w:lastRenderedPageBreak/>
        <w:t>Labour market and economic conditions</w:t>
      </w:r>
      <w:bookmarkEnd w:id="19"/>
    </w:p>
    <w:p w:rsidR="005668E3" w:rsidRDefault="00D71DB5" w:rsidP="00665610">
      <w:pPr>
        <w:pStyle w:val="BodyText"/>
      </w:pPr>
      <w:r>
        <w:t xml:space="preserve">It is important to </w:t>
      </w:r>
      <w:r w:rsidR="005668E3">
        <w:t xml:space="preserve">consider </w:t>
      </w:r>
      <w:r w:rsidR="00AC7943">
        <w:t>the</w:t>
      </w:r>
      <w:r w:rsidR="005668E3">
        <w:t xml:space="preserve"> labour market and economic condi</w:t>
      </w:r>
      <w:r w:rsidR="00D4643A">
        <w:t xml:space="preserve">tions </w:t>
      </w:r>
      <w:r w:rsidR="00AC7943">
        <w:t xml:space="preserve">that </w:t>
      </w:r>
      <w:r w:rsidR="00D4643A">
        <w:t xml:space="preserve">were operating during the </w:t>
      </w:r>
      <w:r w:rsidR="005668E3">
        <w:t>period</w:t>
      </w:r>
      <w:r w:rsidR="00D4643A">
        <w:t xml:space="preserve"> for which we have data</w:t>
      </w:r>
      <w:r w:rsidR="005668E3">
        <w:t>, and</w:t>
      </w:r>
      <w:r>
        <w:t xml:space="preserve"> ask</w:t>
      </w:r>
      <w:r w:rsidR="005668E3">
        <w:t xml:space="preserve"> whether those conditions were different </w:t>
      </w:r>
      <w:r w:rsidR="0033498B">
        <w:t xml:space="preserve">enough </w:t>
      </w:r>
      <w:r w:rsidR="005668E3">
        <w:t>from other historical</w:t>
      </w:r>
      <w:r w:rsidR="00AC7943">
        <w:t xml:space="preserve"> time </w:t>
      </w:r>
      <w:r w:rsidR="005668E3">
        <w:t xml:space="preserve">periods that it would preclude </w:t>
      </w:r>
      <w:r w:rsidR="00390DB5">
        <w:t>our</w:t>
      </w:r>
      <w:r w:rsidR="00225515">
        <w:t xml:space="preserve"> results </w:t>
      </w:r>
      <w:r>
        <w:t xml:space="preserve">from </w:t>
      </w:r>
      <w:r w:rsidR="00225515">
        <w:t xml:space="preserve">being applicable </w:t>
      </w:r>
      <w:r w:rsidR="005668E3">
        <w:t>more generally.</w:t>
      </w:r>
    </w:p>
    <w:p w:rsidR="00BD5450" w:rsidRDefault="00242A38" w:rsidP="00665610">
      <w:pPr>
        <w:pStyle w:val="BodyText"/>
      </w:pPr>
      <w:r>
        <w:t xml:space="preserve">Not by any design, the </w:t>
      </w:r>
      <w:r w:rsidR="00225515">
        <w:t xml:space="preserve">last year of the study period, </w:t>
      </w:r>
      <w:r>
        <w:t>2008</w:t>
      </w:r>
      <w:r w:rsidR="00225515">
        <w:t>, was</w:t>
      </w:r>
      <w:r>
        <w:t xml:space="preserve"> the </w:t>
      </w:r>
      <w:r w:rsidR="00225515">
        <w:t xml:space="preserve">start of the </w:t>
      </w:r>
      <w:r w:rsidR="00BD5450">
        <w:t>2008 to 2010</w:t>
      </w:r>
      <w:r w:rsidR="00225515">
        <w:t xml:space="preserve"> </w:t>
      </w:r>
      <w:r>
        <w:t xml:space="preserve">global </w:t>
      </w:r>
      <w:r w:rsidR="00714203">
        <w:t xml:space="preserve">financial </w:t>
      </w:r>
      <w:proofErr w:type="gramStart"/>
      <w:r w:rsidR="00714203">
        <w:t>crisis</w:t>
      </w:r>
      <w:proofErr w:type="gramEnd"/>
      <w:r>
        <w:t xml:space="preserve">. </w:t>
      </w:r>
      <w:r w:rsidR="00225515">
        <w:t>A priori, it would seem unlikely that the results from this period of history would be applicable to more recent times.</w:t>
      </w:r>
      <w:r w:rsidR="00BD5450">
        <w:t xml:space="preserve"> </w:t>
      </w:r>
      <w:r w:rsidR="00D27BDF">
        <w:t xml:space="preserve">However, while the </w:t>
      </w:r>
      <w:r w:rsidR="00714203">
        <w:t>global financial crisis</w:t>
      </w:r>
      <w:r w:rsidR="00D27BDF">
        <w:t xml:space="preserve"> had an impact on employment for some groups, </w:t>
      </w:r>
      <w:r w:rsidR="00BD5450">
        <w:t xml:space="preserve">various </w:t>
      </w:r>
      <w:r w:rsidR="00D27BDF">
        <w:t xml:space="preserve">economic </w:t>
      </w:r>
      <w:r w:rsidR="006A7C72">
        <w:t>indicators</w:t>
      </w:r>
      <w:r w:rsidR="00D27BDF">
        <w:t xml:space="preserve"> suggest that </w:t>
      </w:r>
      <w:r w:rsidR="00D71DB5">
        <w:t xml:space="preserve">the economic conditions operating during our study period are not atypical of the years following </w:t>
      </w:r>
      <w:r w:rsidR="00120AEF">
        <w:t>economic downturns</w:t>
      </w:r>
      <w:r w:rsidR="00BD5450">
        <w:t>.</w:t>
      </w:r>
    </w:p>
    <w:p w:rsidR="00225515" w:rsidRDefault="00D27BDF" w:rsidP="00C00316">
      <w:pPr>
        <w:pStyle w:val="BodyText"/>
      </w:pPr>
      <w:r>
        <w:t xml:space="preserve">Firstly, </w:t>
      </w:r>
      <w:r w:rsidR="00E87DCB">
        <w:t>average hourly earnings</w:t>
      </w:r>
      <w:r>
        <w:t xml:space="preserve"> growth </w:t>
      </w:r>
      <w:r w:rsidR="00390DB5">
        <w:t xml:space="preserve">prior to 2008 and afterwards do </w:t>
      </w:r>
      <w:r>
        <w:t xml:space="preserve">not show any dramatic departure from the </w:t>
      </w:r>
      <w:r w:rsidR="00390DB5" w:rsidRPr="00C00316">
        <w:t xml:space="preserve">overall </w:t>
      </w:r>
      <w:r w:rsidRPr="00C00316">
        <w:t>long-term trend</w:t>
      </w:r>
      <w:r w:rsidR="0040564F" w:rsidRPr="00C00316">
        <w:t xml:space="preserve"> (</w:t>
      </w:r>
      <w:r w:rsidR="00C00316">
        <w:t xml:space="preserve">Figure </w:t>
      </w:r>
      <w:r w:rsidR="00E0617A">
        <w:t>6</w:t>
      </w:r>
      <w:r w:rsidR="0040564F" w:rsidRPr="00C00316">
        <w:t>)</w:t>
      </w:r>
      <w:r w:rsidRPr="00C00316">
        <w:t xml:space="preserve">. Certainly, there was a </w:t>
      </w:r>
      <w:r w:rsidR="00D4643A" w:rsidRPr="00C00316">
        <w:t>slowing of</w:t>
      </w:r>
      <w:r w:rsidRPr="00C00316">
        <w:t xml:space="preserve"> income growth during the</w:t>
      </w:r>
      <w:r>
        <w:t xml:space="preserve"> years 2009 and 2010</w:t>
      </w:r>
      <w:r w:rsidR="00AC7943">
        <w:t>, but g</w:t>
      </w:r>
      <w:r>
        <w:t xml:space="preserve">rowth in income after 2010 has </w:t>
      </w:r>
      <w:r w:rsidR="005E0E62">
        <w:t xml:space="preserve">essentially </w:t>
      </w:r>
      <w:r>
        <w:t>resumed its previous trajectory.</w:t>
      </w:r>
      <w:r w:rsidR="00527E82">
        <w:t xml:space="preserve"> </w:t>
      </w:r>
      <w:r w:rsidR="005F29B2">
        <w:t>It seems that w</w:t>
      </w:r>
      <w:r w:rsidR="00527E82">
        <w:t>hile fewer people may have been working</w:t>
      </w:r>
      <w:r w:rsidR="00AC7943">
        <w:t xml:space="preserve"> during the </w:t>
      </w:r>
      <w:r w:rsidR="00714203">
        <w:t>global financial crisis</w:t>
      </w:r>
      <w:r w:rsidR="00527E82">
        <w:t>, the income of those who were working was not significantly affected.</w:t>
      </w:r>
    </w:p>
    <w:p w:rsidR="0040564F" w:rsidRPr="004D2C0C" w:rsidRDefault="0040564F" w:rsidP="0040564F">
      <w:pPr>
        <w:pStyle w:val="Caption"/>
        <w:rPr>
          <w:sz w:val="16"/>
        </w:rPr>
      </w:pPr>
      <w:bookmarkStart w:id="20" w:name="_Ref355855125"/>
      <w:proofErr w:type="gramStart"/>
      <w:r w:rsidRPr="004D2C0C">
        <w:rPr>
          <w:sz w:val="16"/>
        </w:rPr>
        <w:t xml:space="preserve">Figure </w:t>
      </w:r>
      <w:r w:rsidR="0092253D" w:rsidRPr="004D2C0C">
        <w:rPr>
          <w:sz w:val="16"/>
        </w:rPr>
        <w:fldChar w:fldCharType="begin"/>
      </w:r>
      <w:r w:rsidRPr="004D2C0C">
        <w:rPr>
          <w:sz w:val="16"/>
        </w:rPr>
        <w:instrText xml:space="preserve"> SEQ Figure \* ARABIC </w:instrText>
      </w:r>
      <w:r w:rsidR="0092253D" w:rsidRPr="004D2C0C">
        <w:rPr>
          <w:sz w:val="16"/>
        </w:rPr>
        <w:fldChar w:fldCharType="separate"/>
      </w:r>
      <w:r w:rsidR="00D15EF8">
        <w:rPr>
          <w:noProof/>
          <w:sz w:val="16"/>
        </w:rPr>
        <w:t>6</w:t>
      </w:r>
      <w:r w:rsidR="0092253D" w:rsidRPr="004D2C0C">
        <w:rPr>
          <w:sz w:val="16"/>
        </w:rPr>
        <w:fldChar w:fldCharType="end"/>
      </w:r>
      <w:bookmarkEnd w:id="20"/>
      <w:r w:rsidRPr="004D2C0C">
        <w:rPr>
          <w:sz w:val="16"/>
        </w:rPr>
        <w:t>.</w:t>
      </w:r>
      <w:proofErr w:type="gramEnd"/>
      <w:r w:rsidRPr="004D2C0C">
        <w:rPr>
          <w:sz w:val="16"/>
        </w:rPr>
        <w:t xml:space="preserve"> </w:t>
      </w:r>
      <w:r w:rsidR="00A6293F" w:rsidRPr="004D2C0C">
        <w:rPr>
          <w:b w:val="0"/>
          <w:sz w:val="16"/>
        </w:rPr>
        <w:t>New Zealand a</w:t>
      </w:r>
      <w:r w:rsidRPr="004D2C0C">
        <w:rPr>
          <w:b w:val="0"/>
          <w:sz w:val="16"/>
        </w:rPr>
        <w:t xml:space="preserve">verage hourly earnings </w:t>
      </w:r>
      <w:r w:rsidR="00A6293F" w:rsidRPr="004D2C0C">
        <w:rPr>
          <w:b w:val="0"/>
          <w:sz w:val="16"/>
        </w:rPr>
        <w:t>over</w:t>
      </w:r>
      <w:r w:rsidRPr="004D2C0C">
        <w:rPr>
          <w:b w:val="0"/>
          <w:sz w:val="16"/>
        </w:rPr>
        <w:t xml:space="preserve"> time</w:t>
      </w:r>
    </w:p>
    <w:p w:rsidR="0040564F" w:rsidRDefault="00E23361" w:rsidP="00120AEF">
      <w:pPr>
        <w:pStyle w:val="BodyText"/>
        <w:spacing w:after="120" w:line="240" w:lineRule="auto"/>
        <w:ind w:left="-284"/>
      </w:pPr>
      <w:r w:rsidRPr="00E23361">
        <w:rPr>
          <w:noProof/>
          <w:lang w:eastAsia="en-NZ"/>
        </w:rPr>
        <w:drawing>
          <wp:inline distT="0" distB="0" distL="0" distR="0">
            <wp:extent cx="4152900" cy="2305321"/>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4171449" cy="2315618"/>
                    </a:xfrm>
                    <a:prstGeom prst="rect">
                      <a:avLst/>
                    </a:prstGeom>
                    <a:noFill/>
                    <a:ln w="9525">
                      <a:noFill/>
                      <a:miter lim="800000"/>
                      <a:headEnd/>
                      <a:tailEnd/>
                    </a:ln>
                  </pic:spPr>
                </pic:pic>
              </a:graphicData>
            </a:graphic>
          </wp:inline>
        </w:drawing>
      </w:r>
    </w:p>
    <w:p w:rsidR="0040564F" w:rsidRPr="005B2A88" w:rsidRDefault="0040564F" w:rsidP="00120AEF">
      <w:pPr>
        <w:pStyle w:val="BodyText"/>
        <w:spacing w:line="240" w:lineRule="auto"/>
        <w:jc w:val="left"/>
        <w:rPr>
          <w:rFonts w:ascii="Arial" w:hAnsi="Arial" w:cs="Arial"/>
          <w:sz w:val="14"/>
        </w:rPr>
      </w:pPr>
      <w:r w:rsidRPr="005B2A88">
        <w:rPr>
          <w:rFonts w:ascii="Arial" w:hAnsi="Arial" w:cs="Arial"/>
          <w:sz w:val="14"/>
        </w:rPr>
        <w:t>Source: Statistics New Zealand</w:t>
      </w:r>
      <w:r w:rsidR="009F7258" w:rsidRPr="005B2A88">
        <w:rPr>
          <w:rFonts w:ascii="Arial" w:hAnsi="Arial" w:cs="Arial"/>
          <w:sz w:val="14"/>
        </w:rPr>
        <w:t xml:space="preserve">, </w:t>
      </w:r>
      <w:proofErr w:type="spellStart"/>
      <w:r w:rsidR="009F7258" w:rsidRPr="005B2A88">
        <w:rPr>
          <w:rFonts w:ascii="Arial" w:hAnsi="Arial" w:cs="Arial"/>
          <w:sz w:val="14"/>
        </w:rPr>
        <w:t>Infoshare</w:t>
      </w:r>
      <w:proofErr w:type="spellEnd"/>
      <w:r w:rsidR="009F7258" w:rsidRPr="005B2A88">
        <w:rPr>
          <w:rFonts w:ascii="Arial" w:hAnsi="Arial" w:cs="Arial"/>
          <w:sz w:val="14"/>
        </w:rPr>
        <w:br/>
        <w:t>Data is plotted for results in quarter two of each year.</w:t>
      </w:r>
      <w:r w:rsidR="00E23361" w:rsidRPr="005B2A88">
        <w:rPr>
          <w:rFonts w:ascii="Arial" w:hAnsi="Arial" w:cs="Arial"/>
          <w:sz w:val="14"/>
        </w:rPr>
        <w:br/>
      </w:r>
      <w:r w:rsidR="00606796" w:rsidRPr="005B2A88">
        <w:rPr>
          <w:rFonts w:ascii="Arial" w:hAnsi="Arial" w:cs="Arial"/>
          <w:sz w:val="14"/>
        </w:rPr>
        <w:t>Average hourly earnings include</w:t>
      </w:r>
      <w:r w:rsidR="00E23361" w:rsidRPr="005B2A88">
        <w:rPr>
          <w:rFonts w:ascii="Arial" w:hAnsi="Arial" w:cs="Arial"/>
          <w:sz w:val="14"/>
        </w:rPr>
        <w:t xml:space="preserve"> ordinary time and overtime.</w:t>
      </w:r>
    </w:p>
    <w:p w:rsidR="005B2A88" w:rsidRDefault="009C6982" w:rsidP="00665610">
      <w:pPr>
        <w:pStyle w:val="BodyText"/>
      </w:pPr>
      <w:r w:rsidRPr="00C00316">
        <w:t>U</w:t>
      </w:r>
      <w:r w:rsidR="00527E82" w:rsidRPr="00C00316">
        <w:t>nemployment rates were generally declining throughout the period 1999 to 2008</w:t>
      </w:r>
      <w:r w:rsidR="00CC12E3" w:rsidRPr="00C00316">
        <w:t xml:space="preserve"> (</w:t>
      </w:r>
      <w:r w:rsidR="00C00316">
        <w:t xml:space="preserve">Figure </w:t>
      </w:r>
      <w:r w:rsidR="00E0617A">
        <w:t>7</w:t>
      </w:r>
      <w:r w:rsidR="00CC12E3" w:rsidRPr="00C00316">
        <w:t>)</w:t>
      </w:r>
      <w:r w:rsidR="00527E82" w:rsidRPr="00C00316">
        <w:t>.</w:t>
      </w:r>
    </w:p>
    <w:p w:rsidR="001335F4" w:rsidRDefault="001335F4" w:rsidP="001335F4">
      <w:pPr>
        <w:pStyle w:val="BodyText"/>
      </w:pPr>
      <w:bookmarkStart w:id="21" w:name="_Ref355852896"/>
      <w:r w:rsidRPr="00C00316">
        <w:t>The</w:t>
      </w:r>
      <w:r>
        <w:t xml:space="preserve"> unemployment rate for people with diplomas or </w:t>
      </w:r>
      <w:proofErr w:type="spellStart"/>
      <w:r>
        <w:t>bachelors</w:t>
      </w:r>
      <w:proofErr w:type="spellEnd"/>
      <w:r>
        <w:t xml:space="preserve"> degrees changed only slightly over time; people with lower-level qualifications, or no qualifications, were far more likely to be unemployed. Clearly with favourable labour market conditions, all people are more likely to find employment</w:t>
      </w:r>
      <w:r w:rsidR="00DE69FA">
        <w:t>, not just graduates</w:t>
      </w:r>
      <w:r>
        <w:t>. Favourable labour market conditions might also mean that people on some type of benefit might also find work, even if this was part-time work. So some of the</w:t>
      </w:r>
      <w:r w:rsidR="00120AEF">
        <w:t xml:space="preserve"> increases in</w:t>
      </w:r>
      <w:r>
        <w:t xml:space="preserve"> income we saw for low-income people may be the result of these favourable conditions. However, not all graduates saw increases in their income in our data, and generally there were large differences both between levels of qualification completed, and between those who completed and those who did not. In any event, our results and conclusions are predicated on the fact that someone needs to find a job to earn an income; this may be easier when more favourable labour market conditions prevail, but it is a prerequisite for a graduate at any time.  </w:t>
      </w:r>
    </w:p>
    <w:p w:rsidR="00CC12E3" w:rsidRPr="004D2C0C" w:rsidRDefault="00CC12E3" w:rsidP="00CC12E3">
      <w:pPr>
        <w:pStyle w:val="Caption"/>
        <w:rPr>
          <w:sz w:val="16"/>
        </w:rPr>
      </w:pPr>
      <w:proofErr w:type="gramStart"/>
      <w:r w:rsidRPr="004D2C0C">
        <w:rPr>
          <w:sz w:val="16"/>
        </w:rPr>
        <w:lastRenderedPageBreak/>
        <w:t xml:space="preserve">Figure </w:t>
      </w:r>
      <w:r w:rsidR="0092253D" w:rsidRPr="004D2C0C">
        <w:rPr>
          <w:sz w:val="16"/>
        </w:rPr>
        <w:fldChar w:fldCharType="begin"/>
      </w:r>
      <w:r w:rsidR="00D059A4" w:rsidRPr="004D2C0C">
        <w:rPr>
          <w:sz w:val="16"/>
        </w:rPr>
        <w:instrText xml:space="preserve"> SEQ Figure \* ARABIC </w:instrText>
      </w:r>
      <w:r w:rsidR="0092253D" w:rsidRPr="004D2C0C">
        <w:rPr>
          <w:sz w:val="16"/>
        </w:rPr>
        <w:fldChar w:fldCharType="separate"/>
      </w:r>
      <w:r w:rsidR="00D15EF8">
        <w:rPr>
          <w:noProof/>
          <w:sz w:val="16"/>
        </w:rPr>
        <w:t>7</w:t>
      </w:r>
      <w:r w:rsidR="0092253D" w:rsidRPr="004D2C0C">
        <w:rPr>
          <w:sz w:val="16"/>
        </w:rPr>
        <w:fldChar w:fldCharType="end"/>
      </w:r>
      <w:bookmarkEnd w:id="21"/>
      <w:r w:rsidRPr="004D2C0C">
        <w:rPr>
          <w:sz w:val="16"/>
        </w:rPr>
        <w:t>.</w:t>
      </w:r>
      <w:proofErr w:type="gramEnd"/>
      <w:r w:rsidRPr="004D2C0C">
        <w:rPr>
          <w:sz w:val="16"/>
        </w:rPr>
        <w:t xml:space="preserve"> </w:t>
      </w:r>
      <w:r w:rsidR="00A6293F" w:rsidRPr="004D2C0C">
        <w:rPr>
          <w:b w:val="0"/>
          <w:sz w:val="16"/>
        </w:rPr>
        <w:t>New Zealand u</w:t>
      </w:r>
      <w:r w:rsidRPr="004D2C0C">
        <w:rPr>
          <w:b w:val="0"/>
          <w:sz w:val="16"/>
        </w:rPr>
        <w:t xml:space="preserve">nemployment rate </w:t>
      </w:r>
      <w:r w:rsidR="00E10BA5" w:rsidRPr="004D2C0C">
        <w:rPr>
          <w:b w:val="0"/>
          <w:sz w:val="16"/>
        </w:rPr>
        <w:t xml:space="preserve">over time </w:t>
      </w:r>
      <w:r w:rsidRPr="004D2C0C">
        <w:rPr>
          <w:b w:val="0"/>
          <w:sz w:val="16"/>
        </w:rPr>
        <w:t>by highest qualification level</w:t>
      </w:r>
    </w:p>
    <w:p w:rsidR="00CC12E3" w:rsidRDefault="0092253D" w:rsidP="00166DBA">
      <w:pPr>
        <w:pStyle w:val="BodyText"/>
        <w:spacing w:after="120" w:line="240" w:lineRule="auto"/>
        <w:ind w:left="-284"/>
      </w:pPr>
      <w:r>
        <w:rPr>
          <w:noProof/>
          <w:lang w:eastAsia="en-NZ"/>
        </w:rPr>
        <w:pict>
          <v:shapetype id="_x0000_t32" coordsize="21600,21600" o:spt="32" o:oned="t" path="m,l21600,21600e" filled="f">
            <v:path arrowok="t" fillok="f" o:connecttype="none"/>
            <o:lock v:ext="edit" shapetype="t"/>
          </v:shapetype>
          <v:shape id="_x0000_s1042" type="#_x0000_t32" style="position:absolute;left:0;text-align:left;margin-left:151.2pt;margin-top:26.4pt;width:.05pt;height:129.75pt;flip:y;z-index:251673600" o:connectortype="straight"/>
        </w:pict>
      </w:r>
      <w:r>
        <w:rPr>
          <w:noProof/>
          <w:lang w:eastAsia="en-NZ"/>
        </w:rPr>
        <w:pict>
          <v:shape id="_x0000_s1040" type="#_x0000_t32" style="position:absolute;left:0;text-align:left;margin-left:314.7pt;margin-top:26.4pt;width:.05pt;height:129.75pt;flip:y;z-index:251671552" o:connectortype="straight"/>
        </w:pict>
      </w:r>
      <w:r w:rsidR="00A6293F" w:rsidRPr="00A6293F">
        <w:rPr>
          <w:noProof/>
          <w:lang w:eastAsia="en-NZ"/>
        </w:rPr>
        <w:drawing>
          <wp:inline distT="0" distB="0" distL="0" distR="0">
            <wp:extent cx="5314950" cy="2680853"/>
            <wp:effectExtent l="19050" t="0" r="0" b="0"/>
            <wp:docPr id="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5361608" cy="2704387"/>
                    </a:xfrm>
                    <a:prstGeom prst="rect">
                      <a:avLst/>
                    </a:prstGeom>
                    <a:noFill/>
                    <a:ln w="9525">
                      <a:noFill/>
                      <a:miter lim="800000"/>
                      <a:headEnd/>
                      <a:tailEnd/>
                    </a:ln>
                  </pic:spPr>
                </pic:pic>
              </a:graphicData>
            </a:graphic>
          </wp:inline>
        </w:drawing>
      </w:r>
    </w:p>
    <w:p w:rsidR="00120AEF" w:rsidRPr="00120AEF" w:rsidRDefault="00CC12E3" w:rsidP="00606796">
      <w:pPr>
        <w:pStyle w:val="BodyText"/>
        <w:spacing w:line="240" w:lineRule="auto"/>
        <w:jc w:val="left"/>
        <w:rPr>
          <w:rFonts w:ascii="Arial" w:hAnsi="Arial" w:cs="Arial"/>
          <w:sz w:val="14"/>
        </w:rPr>
      </w:pPr>
      <w:proofErr w:type="gramStart"/>
      <w:r w:rsidRPr="005B2A88">
        <w:rPr>
          <w:rFonts w:ascii="Arial" w:hAnsi="Arial" w:cs="Arial"/>
          <w:sz w:val="14"/>
        </w:rPr>
        <w:t>Source.</w:t>
      </w:r>
      <w:proofErr w:type="gramEnd"/>
      <w:r w:rsidRPr="005B2A88">
        <w:rPr>
          <w:rFonts w:ascii="Arial" w:hAnsi="Arial" w:cs="Arial"/>
          <w:sz w:val="14"/>
        </w:rPr>
        <w:t xml:space="preserve"> Statistics New Zealand, Household Labour Force Survey</w:t>
      </w:r>
      <w:r w:rsidR="00606796" w:rsidRPr="005B2A88">
        <w:rPr>
          <w:rFonts w:ascii="Arial" w:hAnsi="Arial" w:cs="Arial"/>
          <w:sz w:val="14"/>
        </w:rPr>
        <w:br/>
      </w:r>
      <w:proofErr w:type="gramStart"/>
      <w:r w:rsidR="002B4CA3" w:rsidRPr="005B2A88">
        <w:rPr>
          <w:rFonts w:ascii="Arial" w:hAnsi="Arial" w:cs="Arial"/>
          <w:sz w:val="14"/>
        </w:rPr>
        <w:t>The</w:t>
      </w:r>
      <w:proofErr w:type="gramEnd"/>
      <w:r w:rsidR="002B4CA3" w:rsidRPr="005B2A88">
        <w:rPr>
          <w:rFonts w:ascii="Arial" w:hAnsi="Arial" w:cs="Arial"/>
          <w:sz w:val="14"/>
        </w:rPr>
        <w:t xml:space="preserve"> unemployment rate is a</w:t>
      </w:r>
      <w:r w:rsidR="00606796" w:rsidRPr="005B2A88">
        <w:rPr>
          <w:rFonts w:ascii="Arial" w:hAnsi="Arial" w:cs="Arial"/>
          <w:sz w:val="14"/>
        </w:rPr>
        <w:t>verage</w:t>
      </w:r>
      <w:r w:rsidR="002B4CA3" w:rsidRPr="005B2A88">
        <w:rPr>
          <w:rFonts w:ascii="Arial" w:hAnsi="Arial" w:cs="Arial"/>
          <w:sz w:val="14"/>
        </w:rPr>
        <w:t>d</w:t>
      </w:r>
      <w:r w:rsidR="00606796" w:rsidRPr="005B2A88">
        <w:rPr>
          <w:rFonts w:ascii="Arial" w:hAnsi="Arial" w:cs="Arial"/>
          <w:sz w:val="14"/>
        </w:rPr>
        <w:t xml:space="preserve"> of unemployment rate in each quarter in each year.</w:t>
      </w:r>
      <w:r w:rsidR="00120AEF" w:rsidRPr="00120AEF">
        <w:t xml:space="preserve"> </w:t>
      </w:r>
      <w:r w:rsidR="00120AEF">
        <w:br/>
      </w:r>
      <w:r w:rsidR="00120AEF" w:rsidRPr="00120AEF">
        <w:rPr>
          <w:rFonts w:ascii="Arial" w:hAnsi="Arial" w:cs="Arial"/>
          <w:sz w:val="14"/>
        </w:rPr>
        <w:t>The vertical lines indicate the years of the study period.</w:t>
      </w:r>
    </w:p>
    <w:p w:rsidR="005B2A88" w:rsidRDefault="005B2A88" w:rsidP="005B2A88">
      <w:pPr>
        <w:pStyle w:val="BodyText"/>
      </w:pPr>
      <w:bookmarkStart w:id="22" w:name="_Ref355855858"/>
      <w:r>
        <w:t>Figure 8 shows the gross domestic product (GDP) for New Zealand from 1993 to 2013. It can be seen that GDP was rising steadily from 1999 to 2008, and stalls somewhat during the recent global financial crisis. But there is evidence that the rate of increase in GDP is improving again. It is likely that the economic conditions during our study period, while not representative of adverse economic and labour market conditions, is not atypical of conditions at other times. In fact, it would appear that the years immediately preceding the start of our study data in 1999 were also somewhat difficult economic times, with GDP slowing and unemployment high. So if anything, the results of our study are probably most applicable to improving labour market and economic conditions in the years following an economic downturn, such as New Zealand was experiencing when this report was written.</w:t>
      </w:r>
    </w:p>
    <w:p w:rsidR="00A6293F" w:rsidRPr="004D2C0C" w:rsidRDefault="00A6293F" w:rsidP="00A6293F">
      <w:pPr>
        <w:pStyle w:val="Caption"/>
        <w:rPr>
          <w:sz w:val="16"/>
        </w:rPr>
      </w:pPr>
      <w:proofErr w:type="gramStart"/>
      <w:r w:rsidRPr="004D2C0C">
        <w:rPr>
          <w:sz w:val="16"/>
        </w:rPr>
        <w:t xml:space="preserve">Figure </w:t>
      </w:r>
      <w:r w:rsidR="0092253D" w:rsidRPr="004D2C0C">
        <w:rPr>
          <w:sz w:val="16"/>
        </w:rPr>
        <w:fldChar w:fldCharType="begin"/>
      </w:r>
      <w:r w:rsidR="00EA6CB5" w:rsidRPr="004D2C0C">
        <w:rPr>
          <w:sz w:val="16"/>
        </w:rPr>
        <w:instrText xml:space="preserve"> SEQ Figure \* ARABIC </w:instrText>
      </w:r>
      <w:r w:rsidR="0092253D" w:rsidRPr="004D2C0C">
        <w:rPr>
          <w:sz w:val="16"/>
        </w:rPr>
        <w:fldChar w:fldCharType="separate"/>
      </w:r>
      <w:r w:rsidR="00D15EF8">
        <w:rPr>
          <w:noProof/>
          <w:sz w:val="16"/>
        </w:rPr>
        <w:t>8</w:t>
      </w:r>
      <w:r w:rsidR="0092253D" w:rsidRPr="004D2C0C">
        <w:rPr>
          <w:sz w:val="16"/>
        </w:rPr>
        <w:fldChar w:fldCharType="end"/>
      </w:r>
      <w:bookmarkEnd w:id="22"/>
      <w:r w:rsidRPr="004D2C0C">
        <w:rPr>
          <w:sz w:val="16"/>
        </w:rPr>
        <w:t>.</w:t>
      </w:r>
      <w:proofErr w:type="gramEnd"/>
      <w:r w:rsidRPr="004D2C0C">
        <w:rPr>
          <w:sz w:val="16"/>
        </w:rPr>
        <w:t xml:space="preserve"> </w:t>
      </w:r>
      <w:r w:rsidRPr="004D2C0C">
        <w:rPr>
          <w:b w:val="0"/>
          <w:sz w:val="16"/>
        </w:rPr>
        <w:t>New Zealand gross domestic product over time</w:t>
      </w:r>
    </w:p>
    <w:p w:rsidR="009321B5" w:rsidRDefault="0092253D" w:rsidP="00120AEF">
      <w:pPr>
        <w:pStyle w:val="BodyText"/>
        <w:spacing w:after="120" w:line="240" w:lineRule="auto"/>
        <w:ind w:left="-142"/>
      </w:pPr>
      <w:r>
        <w:rPr>
          <w:noProof/>
          <w:lang w:eastAsia="en-NZ"/>
        </w:rPr>
        <w:pict>
          <v:shape id="_x0000_s1037" type="#_x0000_t32" style="position:absolute;left:0;text-align:left;margin-left:120.45pt;margin-top:71pt;width:0;height:111.75pt;flip:y;z-index:251668480" o:connectortype="straight"/>
        </w:pict>
      </w:r>
      <w:r>
        <w:rPr>
          <w:noProof/>
          <w:lang w:eastAsia="en-NZ"/>
        </w:rPr>
        <w:pict>
          <v:shape id="_x0000_s1038" type="#_x0000_t32" style="position:absolute;left:0;text-align:left;margin-left:234.45pt;margin-top:26.75pt;width:0;height:156pt;flip:y;z-index:251669504" o:connectortype="straight"/>
        </w:pict>
      </w:r>
      <w:r w:rsidR="000A5773" w:rsidRPr="000A5773">
        <w:rPr>
          <w:noProof/>
          <w:lang w:eastAsia="en-NZ"/>
        </w:rPr>
        <w:drawing>
          <wp:inline distT="0" distB="0" distL="0" distR="0">
            <wp:extent cx="4038600" cy="2524171"/>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4046464" cy="2529086"/>
                    </a:xfrm>
                    <a:prstGeom prst="rect">
                      <a:avLst/>
                    </a:prstGeom>
                    <a:noFill/>
                    <a:ln w="9525">
                      <a:noFill/>
                      <a:miter lim="800000"/>
                      <a:headEnd/>
                      <a:tailEnd/>
                    </a:ln>
                  </pic:spPr>
                </pic:pic>
              </a:graphicData>
            </a:graphic>
          </wp:inline>
        </w:drawing>
      </w:r>
    </w:p>
    <w:p w:rsidR="00120AEF" w:rsidRPr="00120AEF" w:rsidRDefault="00A6293F" w:rsidP="00120AEF">
      <w:pPr>
        <w:pStyle w:val="BodyText"/>
        <w:spacing w:line="240" w:lineRule="auto"/>
        <w:jc w:val="left"/>
        <w:rPr>
          <w:rFonts w:ascii="Arial" w:hAnsi="Arial" w:cs="Arial"/>
          <w:sz w:val="14"/>
        </w:rPr>
      </w:pPr>
      <w:proofErr w:type="gramStart"/>
      <w:r w:rsidRPr="005B2A88">
        <w:rPr>
          <w:rFonts w:ascii="Arial" w:hAnsi="Arial" w:cs="Arial"/>
          <w:sz w:val="14"/>
        </w:rPr>
        <w:t>Source.</w:t>
      </w:r>
      <w:proofErr w:type="gramEnd"/>
      <w:r w:rsidRPr="005B2A88">
        <w:rPr>
          <w:rFonts w:ascii="Arial" w:hAnsi="Arial" w:cs="Arial"/>
          <w:sz w:val="14"/>
        </w:rPr>
        <w:t xml:space="preserve"> Statistics New Zealand, </w:t>
      </w:r>
      <w:proofErr w:type="spellStart"/>
      <w:r w:rsidR="009F7258" w:rsidRPr="005B2A88">
        <w:rPr>
          <w:rFonts w:ascii="Arial" w:hAnsi="Arial" w:cs="Arial"/>
          <w:sz w:val="14"/>
        </w:rPr>
        <w:t>Infoshare</w:t>
      </w:r>
      <w:proofErr w:type="spellEnd"/>
      <w:r w:rsidR="009321B5" w:rsidRPr="005B2A88">
        <w:rPr>
          <w:rFonts w:ascii="Arial" w:hAnsi="Arial" w:cs="Arial"/>
          <w:sz w:val="14"/>
        </w:rPr>
        <w:t>.</w:t>
      </w:r>
      <w:r w:rsidR="009321B5" w:rsidRPr="005B2A88">
        <w:rPr>
          <w:rFonts w:ascii="Arial" w:hAnsi="Arial" w:cs="Arial"/>
          <w:sz w:val="14"/>
        </w:rPr>
        <w:br/>
      </w:r>
      <w:r w:rsidR="000A5773" w:rsidRPr="005B2A88">
        <w:rPr>
          <w:rFonts w:ascii="Arial" w:hAnsi="Arial" w:cs="Arial"/>
          <w:sz w:val="14"/>
        </w:rPr>
        <w:t xml:space="preserve">Series: </w:t>
      </w:r>
      <w:r w:rsidR="009321B5" w:rsidRPr="005B2A88">
        <w:rPr>
          <w:rFonts w:ascii="Arial" w:hAnsi="Arial" w:cs="Arial"/>
          <w:sz w:val="14"/>
        </w:rPr>
        <w:t>GDP (P) chain volume, Actual ANZSIC06, Annual-March figures,</w:t>
      </w:r>
      <w:r w:rsidR="000A5773" w:rsidRPr="005B2A88">
        <w:rPr>
          <w:rFonts w:ascii="Arial" w:hAnsi="Arial" w:cs="Arial"/>
          <w:sz w:val="14"/>
        </w:rPr>
        <w:t xml:space="preserve"> high-level industry groups,</w:t>
      </w:r>
      <w:r w:rsidR="009321B5" w:rsidRPr="005B2A88">
        <w:rPr>
          <w:rFonts w:ascii="Arial" w:hAnsi="Arial" w:cs="Arial"/>
          <w:sz w:val="14"/>
        </w:rPr>
        <w:t xml:space="preserve"> all industries.</w:t>
      </w:r>
      <w:r w:rsidR="00120AEF">
        <w:rPr>
          <w:rFonts w:ascii="Arial" w:hAnsi="Arial" w:cs="Arial"/>
          <w:sz w:val="14"/>
        </w:rPr>
        <w:br/>
      </w:r>
      <w:r w:rsidR="00120AEF" w:rsidRPr="00120AEF">
        <w:rPr>
          <w:rFonts w:ascii="Arial" w:hAnsi="Arial" w:cs="Arial"/>
          <w:sz w:val="14"/>
        </w:rPr>
        <w:t>The vertical lines indicate the years of the study period.</w:t>
      </w:r>
    </w:p>
    <w:p w:rsidR="009F12C7" w:rsidRDefault="009F12C7" w:rsidP="00120AEF">
      <w:pPr>
        <w:pStyle w:val="Heading2"/>
      </w:pPr>
      <w:bookmarkStart w:id="23" w:name="_Toc386449912"/>
      <w:r>
        <w:lastRenderedPageBreak/>
        <w:t xml:space="preserve">Unobserved factors that </w:t>
      </w:r>
      <w:r w:rsidR="00C752C1">
        <w:t>might be</w:t>
      </w:r>
      <w:r>
        <w:t xml:space="preserve"> </w:t>
      </w:r>
      <w:r w:rsidRPr="00120AEF">
        <w:t>correlated</w:t>
      </w:r>
      <w:r>
        <w:t xml:space="preserve"> with income</w:t>
      </w:r>
      <w:bookmarkEnd w:id="23"/>
    </w:p>
    <w:p w:rsidR="002E7656" w:rsidRDefault="00FD6513" w:rsidP="002E7656">
      <w:pPr>
        <w:pStyle w:val="BodyText"/>
      </w:pPr>
      <w:r>
        <w:t>In this study we have shown an association between income, and the completion of tertiary qualifications. Generally, both average and median incomes are above the student loan repayment threshold one year after graduating with higher-level qualifications.</w:t>
      </w:r>
    </w:p>
    <w:p w:rsidR="00FD6513" w:rsidRDefault="00FD6513" w:rsidP="002E7656">
      <w:pPr>
        <w:pStyle w:val="BodyText"/>
      </w:pPr>
      <w:r>
        <w:t xml:space="preserve">What we cannot say is that simply completing a higher level qualification will </w:t>
      </w:r>
      <w:r w:rsidR="005E3FC4">
        <w:t>always</w:t>
      </w:r>
      <w:r>
        <w:t xml:space="preserve"> result in a higher income. Not everyone who completes a </w:t>
      </w:r>
      <w:proofErr w:type="gramStart"/>
      <w:r>
        <w:t>bachelors</w:t>
      </w:r>
      <w:proofErr w:type="gramEnd"/>
      <w:r>
        <w:t xml:space="preserve"> degree will have a higher income on graduating, and some people who complete lower-level certificate qualifications </w:t>
      </w:r>
      <w:r>
        <w:rPr>
          <w:i/>
        </w:rPr>
        <w:t xml:space="preserve">will </w:t>
      </w:r>
      <w:r>
        <w:t xml:space="preserve">have an income that obliges them to repay their student loans. </w:t>
      </w:r>
    </w:p>
    <w:p w:rsidR="00FD6513" w:rsidRDefault="00FD6513" w:rsidP="00FD6513">
      <w:pPr>
        <w:pStyle w:val="BodyText"/>
      </w:pPr>
      <w:r>
        <w:t xml:space="preserve">This is because </w:t>
      </w:r>
      <w:r w:rsidR="005E3FC4">
        <w:t xml:space="preserve">many of </w:t>
      </w:r>
      <w:r>
        <w:t xml:space="preserve">the factors that </w:t>
      </w:r>
      <w:r>
        <w:rPr>
          <w:i/>
        </w:rPr>
        <w:t xml:space="preserve">directly </w:t>
      </w:r>
      <w:r>
        <w:t xml:space="preserve">influence income </w:t>
      </w:r>
      <w:r w:rsidR="002F2415">
        <w:t>cannot</w:t>
      </w:r>
      <w:r>
        <w:t xml:space="preserve"> </w:t>
      </w:r>
      <w:r w:rsidR="00E87DCB">
        <w:t xml:space="preserve">be </w:t>
      </w:r>
      <w:r>
        <w:t>modelled in this study. These are a person’s ability, motivation and confidence—amongst others—which are generally understood to have a large bearing on life outcomes</w:t>
      </w:r>
      <w:r w:rsidR="002F2415">
        <w:t>, including employment and income</w:t>
      </w:r>
      <w:r>
        <w:t>.</w:t>
      </w:r>
      <w:r w:rsidR="00C81505">
        <w:t xml:space="preserve"> </w:t>
      </w:r>
      <w:r>
        <w:t xml:space="preserve">Therefore, we cannot suggest that simply completing a higher-level qualification will </w:t>
      </w:r>
      <w:r w:rsidR="005E3FC4">
        <w:t>always</w:t>
      </w:r>
      <w:r>
        <w:t xml:space="preserve"> result in someone earning sufficient income for them to be obliged to start paying off their student loan. Like any study that does not or cannot control for human characteristics, or indeed any factors systematically linked with the outcome of interest</w:t>
      </w:r>
      <w:r w:rsidR="002F2415">
        <w:t xml:space="preserve">, </w:t>
      </w:r>
      <w:r>
        <w:t xml:space="preserve">there is always the possibility that the factors </w:t>
      </w:r>
      <w:r>
        <w:rPr>
          <w:i/>
        </w:rPr>
        <w:t xml:space="preserve">causing </w:t>
      </w:r>
      <w:r>
        <w:t>the changes in income we observed for people completing a tertiary qualification are due to these unobserved factors, rather than the changes in remuneration arising directly</w:t>
      </w:r>
      <w:r w:rsidR="00E87DCB">
        <w:t xml:space="preserve"> or indirectly</w:t>
      </w:r>
      <w:r>
        <w:t xml:space="preserve"> from the completion of the qualification. That the step changes in income we observed in our study are linked </w:t>
      </w:r>
      <w:r w:rsidR="005E3FC4">
        <w:t>in time</w:t>
      </w:r>
      <w:r>
        <w:t xml:space="preserve"> to the qualification completion event is </w:t>
      </w:r>
      <w:r w:rsidR="00E87DCB">
        <w:t xml:space="preserve">not in question. It can’t be a coincidence that income </w:t>
      </w:r>
      <w:proofErr w:type="gramStart"/>
      <w:r w:rsidR="00E87DCB">
        <w:t>rises</w:t>
      </w:r>
      <w:proofErr w:type="gramEnd"/>
      <w:r w:rsidR="00E87DCB">
        <w:t xml:space="preserve"> in the year after completing a tertiary qualification</w:t>
      </w:r>
      <w:r>
        <w:t xml:space="preserve">. </w:t>
      </w:r>
      <w:r w:rsidR="00F276F7">
        <w:t xml:space="preserve">But it might be that any intelligent, motivated and confident person completing </w:t>
      </w:r>
      <w:r w:rsidR="00F276F7">
        <w:rPr>
          <w:i/>
        </w:rPr>
        <w:t xml:space="preserve">any </w:t>
      </w:r>
      <w:r w:rsidR="00F276F7">
        <w:t>qualification will have a high</w:t>
      </w:r>
      <w:r w:rsidR="008E59D9">
        <w:t>er</w:t>
      </w:r>
      <w:r w:rsidR="00F276F7">
        <w:t xml:space="preserve"> income after graduating. The difference in the results between the levels of qualification completed we observe might just be because a higher proportion of able and motivated people choose to study at bachelors level, so on average, their graduate incomes will be higher than those who choose to study at lower levels.</w:t>
      </w:r>
    </w:p>
    <w:p w:rsidR="00FD6513" w:rsidRDefault="00612001" w:rsidP="002E7656">
      <w:pPr>
        <w:pStyle w:val="BodyText"/>
      </w:pPr>
      <w:r>
        <w:t xml:space="preserve">But even if a person has the confidence and ability to complete a bachelors degree, if the subject matter is in an area where there are no or limited employment opportunities, or the person is living </w:t>
      </w:r>
      <w:r w:rsidR="0071106D">
        <w:t>in a town</w:t>
      </w:r>
      <w:r>
        <w:t xml:space="preserve"> where there are limited employment opportunities</w:t>
      </w:r>
      <w:r w:rsidR="002F2415">
        <w:t xml:space="preserve"> in any field</w:t>
      </w:r>
      <w:r>
        <w:t xml:space="preserve">—and for whatever reasons </w:t>
      </w:r>
      <w:r w:rsidR="0071106D">
        <w:t xml:space="preserve">the person </w:t>
      </w:r>
      <w:r>
        <w:t>cannot relocate—then securing a job</w:t>
      </w:r>
      <w:r w:rsidR="0071106D">
        <w:t xml:space="preserve"> </w:t>
      </w:r>
      <w:r>
        <w:t>will be difficult.</w:t>
      </w:r>
      <w:r w:rsidR="0071106D">
        <w:t xml:space="preserve"> However, it might be reasoned that generally, a person with a higher-level qualification will have a better chance of securing employment, with better pay, than someone with a lower-level qualification, given that the two people have equal ability and motivation. A study in 2010 by Earle (Earle 2010) provides some evidence for this. In that study, Earle controlled for ‘ability’ by using document literacy</w:t>
      </w:r>
      <w:r w:rsidR="002F2415">
        <w:rPr>
          <w:rStyle w:val="FootnoteReference"/>
        </w:rPr>
        <w:footnoteReference w:id="13"/>
      </w:r>
      <w:r w:rsidR="0071106D">
        <w:t xml:space="preserve"> as a proxy. His results showed that hourly wage rates increase</w:t>
      </w:r>
      <w:r w:rsidR="00F276F7">
        <w:t>d</w:t>
      </w:r>
      <w:r w:rsidR="0071106D">
        <w:t xml:space="preserve"> with increasing ‘ability’, but when holding ‘ability’ constant, wage rates also increase</w:t>
      </w:r>
      <w:r w:rsidR="002F2415">
        <w:t>d</w:t>
      </w:r>
      <w:r w:rsidR="0071106D">
        <w:t xml:space="preserve"> for increasing levels of tertiary education. In particular, while median and average </w:t>
      </w:r>
      <w:r w:rsidR="002F2415">
        <w:t>hourly wages</w:t>
      </w:r>
      <w:r w:rsidR="0071106D">
        <w:t xml:space="preserve"> increase</w:t>
      </w:r>
      <w:r w:rsidR="002F2415">
        <w:t>d</w:t>
      </w:r>
      <w:r w:rsidR="0071106D">
        <w:t xml:space="preserve"> with increasing tertiary qualification, the 75</w:t>
      </w:r>
      <w:r w:rsidR="0071106D" w:rsidRPr="0071106D">
        <w:rPr>
          <w:vertAlign w:val="superscript"/>
        </w:rPr>
        <w:t>th</w:t>
      </w:r>
      <w:r w:rsidR="0071106D">
        <w:t xml:space="preserve"> and 90</w:t>
      </w:r>
      <w:r w:rsidR="0071106D" w:rsidRPr="0071106D">
        <w:rPr>
          <w:vertAlign w:val="superscript"/>
        </w:rPr>
        <w:t>th</w:t>
      </w:r>
      <w:r w:rsidR="0071106D">
        <w:t xml:space="preserve"> percentiles of </w:t>
      </w:r>
      <w:r w:rsidR="002F2415">
        <w:t xml:space="preserve">this </w:t>
      </w:r>
      <w:r w:rsidR="0071106D">
        <w:t xml:space="preserve">income </w:t>
      </w:r>
      <w:r w:rsidR="00F276F7">
        <w:t>were</w:t>
      </w:r>
      <w:r w:rsidR="0071106D">
        <w:t xml:space="preserve"> much higher.</w:t>
      </w:r>
    </w:p>
    <w:p w:rsidR="002F2415" w:rsidRDefault="002F2415" w:rsidP="002E7656">
      <w:pPr>
        <w:pStyle w:val="BodyText"/>
      </w:pPr>
      <w:r>
        <w:t>What this tells us is that higher level qualifications provide people with a higher income over and above the effect of ‘ability’, for those people able to find employment in their area of expertise.</w:t>
      </w:r>
    </w:p>
    <w:p w:rsidR="0071106D" w:rsidRPr="00FD6513" w:rsidRDefault="0071106D" w:rsidP="002E7656">
      <w:pPr>
        <w:pStyle w:val="BodyText"/>
      </w:pPr>
    </w:p>
    <w:p w:rsidR="009F12C7" w:rsidRDefault="009F12C7">
      <w:pPr>
        <w:rPr>
          <w:rFonts w:ascii="Arial" w:hAnsi="Arial"/>
          <w:caps/>
          <w:sz w:val="32"/>
        </w:rPr>
      </w:pPr>
      <w:r>
        <w:br w:type="page"/>
      </w:r>
    </w:p>
    <w:p w:rsidR="00D50743" w:rsidRPr="003917DE" w:rsidRDefault="00D50743" w:rsidP="00D50743">
      <w:pPr>
        <w:pStyle w:val="Heading1"/>
      </w:pPr>
      <w:bookmarkStart w:id="24" w:name="_Toc386449913"/>
      <w:r w:rsidRPr="003917DE">
        <w:lastRenderedPageBreak/>
        <w:t>Confidentiality of data</w:t>
      </w:r>
      <w:bookmarkEnd w:id="24"/>
      <w:r w:rsidRPr="003917DE">
        <w:t xml:space="preserve"> </w:t>
      </w:r>
    </w:p>
    <w:p w:rsidR="00D50743" w:rsidRDefault="00D50743" w:rsidP="00D50743">
      <w:pPr>
        <w:pStyle w:val="BodyText"/>
        <w:rPr>
          <w:kern w:val="36"/>
          <w:lang w:val="en-GB" w:eastAsia="en-GB"/>
        </w:rPr>
      </w:pPr>
      <w:r w:rsidRPr="001918FB">
        <w:rPr>
          <w:kern w:val="36"/>
          <w:lang w:val="en-GB" w:eastAsia="en-GB"/>
        </w:rPr>
        <w:t>The results published in this report</w:t>
      </w:r>
      <w:r>
        <w:rPr>
          <w:kern w:val="36"/>
          <w:lang w:val="en-GB" w:eastAsia="en-GB"/>
        </w:rPr>
        <w:t xml:space="preserve"> </w:t>
      </w:r>
      <w:r w:rsidRPr="001918FB">
        <w:rPr>
          <w:kern w:val="36"/>
          <w:lang w:val="en-GB" w:eastAsia="en-GB"/>
        </w:rPr>
        <w:t xml:space="preserve">comply with the Statistics New Zealand’s confidentiality requirements. These include a requirement to use </w:t>
      </w:r>
      <w:r w:rsidRPr="003917DE">
        <w:rPr>
          <w:i/>
          <w:kern w:val="36"/>
          <w:lang w:val="en-GB" w:eastAsia="en-GB"/>
        </w:rPr>
        <w:t>random rounding</w:t>
      </w:r>
      <w:r w:rsidRPr="001918FB">
        <w:rPr>
          <w:kern w:val="36"/>
          <w:lang w:val="en-GB" w:eastAsia="en-GB"/>
        </w:rPr>
        <w:t xml:space="preserve"> </w:t>
      </w:r>
      <w:r w:rsidR="00706F70" w:rsidRPr="00706F70">
        <w:rPr>
          <w:i/>
          <w:kern w:val="36"/>
          <w:lang w:val="en-GB" w:eastAsia="en-GB"/>
        </w:rPr>
        <w:t>to base 3</w:t>
      </w:r>
      <w:r w:rsidR="00706F70">
        <w:rPr>
          <w:kern w:val="36"/>
          <w:lang w:val="en-GB" w:eastAsia="en-GB"/>
        </w:rPr>
        <w:t xml:space="preserve"> </w:t>
      </w:r>
      <w:r w:rsidRPr="001918FB">
        <w:rPr>
          <w:kern w:val="36"/>
          <w:lang w:val="en-GB" w:eastAsia="en-GB"/>
        </w:rPr>
        <w:t xml:space="preserve">for all counts. Additionally, counts for </w:t>
      </w:r>
      <w:r>
        <w:rPr>
          <w:kern w:val="36"/>
          <w:lang w:val="en-GB" w:eastAsia="en-GB"/>
        </w:rPr>
        <w:t>any</w:t>
      </w:r>
      <w:r w:rsidRPr="001918FB">
        <w:rPr>
          <w:kern w:val="36"/>
          <w:lang w:val="en-GB" w:eastAsia="en-GB"/>
        </w:rPr>
        <w:t xml:space="preserve"> </w:t>
      </w:r>
      <w:r w:rsidR="009C5379">
        <w:rPr>
          <w:kern w:val="36"/>
          <w:lang w:val="en-GB" w:eastAsia="en-GB"/>
        </w:rPr>
        <w:t xml:space="preserve">combination of </w:t>
      </w:r>
      <w:r w:rsidRPr="001918FB">
        <w:rPr>
          <w:kern w:val="36"/>
          <w:lang w:val="en-GB" w:eastAsia="en-GB"/>
        </w:rPr>
        <w:t>qualification level</w:t>
      </w:r>
      <w:r w:rsidR="009C5379">
        <w:rPr>
          <w:kern w:val="36"/>
          <w:lang w:val="en-GB" w:eastAsia="en-GB"/>
        </w:rPr>
        <w:t xml:space="preserve">, </w:t>
      </w:r>
      <w:r>
        <w:rPr>
          <w:kern w:val="36"/>
          <w:lang w:val="en-GB" w:eastAsia="en-GB"/>
        </w:rPr>
        <w:t xml:space="preserve">gender </w:t>
      </w:r>
      <w:r w:rsidR="009C5379">
        <w:rPr>
          <w:kern w:val="36"/>
          <w:lang w:val="en-GB" w:eastAsia="en-GB"/>
        </w:rPr>
        <w:t xml:space="preserve">and </w:t>
      </w:r>
      <w:r>
        <w:rPr>
          <w:kern w:val="36"/>
          <w:lang w:val="en-GB" w:eastAsia="en-GB"/>
        </w:rPr>
        <w:t>age</w:t>
      </w:r>
      <w:r w:rsidRPr="001918FB">
        <w:rPr>
          <w:kern w:val="36"/>
          <w:lang w:val="en-GB" w:eastAsia="en-GB"/>
        </w:rPr>
        <w:t xml:space="preserve"> must be higher than prescribed limits. Blanks may also be suppressed in line with Statistic New Z</w:t>
      </w:r>
      <w:r>
        <w:rPr>
          <w:kern w:val="36"/>
          <w:lang w:val="en-GB" w:eastAsia="en-GB"/>
        </w:rPr>
        <w:t>ealand’s confidentiality rules.</w:t>
      </w:r>
    </w:p>
    <w:p w:rsidR="00D50743" w:rsidRPr="000613E0" w:rsidRDefault="00D50743" w:rsidP="00D50743">
      <w:pPr>
        <w:pStyle w:val="Heading3"/>
      </w:pPr>
      <w:r w:rsidRPr="000613E0">
        <w:t>Disclaimer</w:t>
      </w:r>
    </w:p>
    <w:p w:rsidR="00D50743" w:rsidRDefault="00D50743" w:rsidP="00D50743">
      <w:pPr>
        <w:jc w:val="both"/>
        <w:rPr>
          <w:i/>
          <w:szCs w:val="22"/>
        </w:rPr>
      </w:pPr>
    </w:p>
    <w:p w:rsidR="00D50743" w:rsidRPr="005555AE" w:rsidRDefault="00D50743" w:rsidP="00D50743">
      <w:pPr>
        <w:pStyle w:val="BodyText"/>
        <w:rPr>
          <w:i/>
        </w:rPr>
      </w:pPr>
      <w:r w:rsidRPr="005555AE">
        <w:rPr>
          <w:i/>
        </w:rPr>
        <w:t xml:space="preserve">The results in this report are not official statistics, they have been created for research purposes from the Integrated Data Infrastructure (IDI) managed by Statistics New Zealand. </w:t>
      </w:r>
    </w:p>
    <w:p w:rsidR="00D50743" w:rsidRPr="005555AE" w:rsidRDefault="00D50743" w:rsidP="00D50743">
      <w:pPr>
        <w:pStyle w:val="BodyText"/>
        <w:rPr>
          <w:i/>
        </w:rPr>
      </w:pPr>
      <w:r w:rsidRPr="005555AE">
        <w:rPr>
          <w:i/>
        </w:rPr>
        <w:t>The opinions, findings, recommendations and conclusions expressed in this report are those of the authors</w:t>
      </w:r>
      <w:r>
        <w:rPr>
          <w:i/>
        </w:rPr>
        <w:t>,</w:t>
      </w:r>
      <w:r w:rsidRPr="005555AE">
        <w:rPr>
          <w:i/>
        </w:rPr>
        <w:t xml:space="preserve"> not Statistics NZ.</w:t>
      </w:r>
    </w:p>
    <w:p w:rsidR="00D50743" w:rsidRPr="005555AE" w:rsidRDefault="00D50743" w:rsidP="00D50743">
      <w:pPr>
        <w:pStyle w:val="BodyText"/>
        <w:rPr>
          <w:i/>
        </w:rPr>
      </w:pPr>
      <w:r w:rsidRPr="005555AE">
        <w:rPr>
          <w:i/>
        </w:rPr>
        <w:t xml:space="preserve">Access to the </w:t>
      </w:r>
      <w:proofErr w:type="spellStart"/>
      <w:r w:rsidRPr="005555AE">
        <w:rPr>
          <w:i/>
        </w:rPr>
        <w:t>anonymised</w:t>
      </w:r>
      <w:proofErr w:type="spellEnd"/>
      <w:r w:rsidRPr="005555AE">
        <w:rPr>
          <w:i/>
        </w:rPr>
        <w:t xml:space="preserve"> data used in this study was provided by Statistics NZ in accordance with security and confidentiality provisions of the Statistics Act 1975. Only people authorised by the Statistics Act 1975 are allowed to see data about a particular person, household, business or organisation and the results in this report have been </w:t>
      </w:r>
      <w:proofErr w:type="spellStart"/>
      <w:r w:rsidRPr="005555AE">
        <w:rPr>
          <w:i/>
        </w:rPr>
        <w:t>confidentialised</w:t>
      </w:r>
      <w:proofErr w:type="spellEnd"/>
      <w:r w:rsidRPr="005555AE">
        <w:rPr>
          <w:i/>
        </w:rPr>
        <w:t xml:space="preserve"> to protect these groups from identification.</w:t>
      </w:r>
    </w:p>
    <w:p w:rsidR="00D50743" w:rsidRPr="005555AE" w:rsidRDefault="00D50743" w:rsidP="00D50743">
      <w:pPr>
        <w:pStyle w:val="BodyText"/>
        <w:rPr>
          <w:i/>
        </w:rPr>
      </w:pPr>
      <w:r w:rsidRPr="005555AE">
        <w:rPr>
          <w:i/>
        </w:rPr>
        <w:t xml:space="preserve">Careful consideration has been given to the privacy, security and confidentiality issues associated with using administrative and survey data in the IDI. Further detail can be found in the </w:t>
      </w:r>
      <w:hyperlink r:id="rId51" w:history="1">
        <w:r w:rsidRPr="005555AE">
          <w:rPr>
            <w:i/>
          </w:rPr>
          <w:t>Privacy impact assessment for the Integrated Data Infrastructure</w:t>
        </w:r>
      </w:hyperlink>
      <w:r w:rsidRPr="005555AE">
        <w:rPr>
          <w:i/>
        </w:rPr>
        <w:t xml:space="preserve"> available from </w:t>
      </w:r>
      <w:hyperlink r:id="rId52" w:history="1">
        <w:r w:rsidRPr="005555AE">
          <w:rPr>
            <w:i/>
          </w:rPr>
          <w:t>www.stats.govt.nz</w:t>
        </w:r>
      </w:hyperlink>
      <w:r w:rsidRPr="005555AE">
        <w:rPr>
          <w:i/>
        </w:rPr>
        <w:t xml:space="preserve">. </w:t>
      </w:r>
    </w:p>
    <w:p w:rsidR="00D50743" w:rsidRPr="005555AE" w:rsidRDefault="00D50743" w:rsidP="00D50743">
      <w:pPr>
        <w:pStyle w:val="BodyText"/>
        <w:rPr>
          <w:i/>
        </w:rPr>
      </w:pPr>
      <w:r w:rsidRPr="005555AE">
        <w:rPr>
          <w:i/>
        </w:rPr>
        <w:t>The results are based in part on tax data supplied by Inland Revenue to Statistics NZ under the Tax Administration Act 1994. This tax data must be used only for statistical purposes, and no individual information may be published or disclosed in any other form, or provided to Inland Revenue for administrative or regulatory purposes.</w:t>
      </w:r>
    </w:p>
    <w:p w:rsidR="00D50743" w:rsidRDefault="00D50743" w:rsidP="00D50743">
      <w:pPr>
        <w:pStyle w:val="BodyText"/>
        <w:rPr>
          <w:i/>
        </w:rPr>
      </w:pPr>
      <w:r w:rsidRPr="005555AE">
        <w:rPr>
          <w:i/>
        </w:rPr>
        <w:t>Any person who has had access to the unit-record data has certified that they have been shown, have read, and have understood section 81 of the Tax Administration Act 1994, which relates to secrecy. Any discussion of data limitations or weaknesses is in the context of using the IDI for statistical purposes, and is not related to the data's ability to support Inland Revenue's</w:t>
      </w:r>
      <w:r>
        <w:rPr>
          <w:i/>
        </w:rPr>
        <w:t xml:space="preserve"> core operational requirements.</w:t>
      </w:r>
    </w:p>
    <w:p w:rsidR="009C5379" w:rsidRDefault="009C5379">
      <w:pPr>
        <w:rPr>
          <w:rFonts w:ascii="Arial" w:hAnsi="Arial"/>
          <w:caps/>
          <w:sz w:val="32"/>
        </w:rPr>
      </w:pPr>
      <w:r>
        <w:br w:type="page"/>
      </w:r>
    </w:p>
    <w:p w:rsidR="00ED68DB" w:rsidRDefault="004F525C" w:rsidP="00A8047D">
      <w:pPr>
        <w:pStyle w:val="Heading1"/>
      </w:pPr>
      <w:bookmarkStart w:id="25" w:name="_Toc386449914"/>
      <w:r>
        <w:lastRenderedPageBreak/>
        <w:t>References</w:t>
      </w:r>
      <w:bookmarkEnd w:id="25"/>
    </w:p>
    <w:p w:rsidR="00787597" w:rsidRDefault="001A5B5E" w:rsidP="00182674">
      <w:pPr>
        <w:pStyle w:val="Referencetext"/>
        <w:ind w:left="1276" w:hanging="1276"/>
      </w:pPr>
      <w:proofErr w:type="gramStart"/>
      <w:r>
        <w:t>Chen, N. and M. Webster (201</w:t>
      </w:r>
      <w:r w:rsidR="00173AB5">
        <w:t>3</w:t>
      </w:r>
      <w:r>
        <w:t xml:space="preserve">) </w:t>
      </w:r>
      <w:r w:rsidRPr="00A160F7">
        <w:rPr>
          <w:i/>
        </w:rPr>
        <w:t>S</w:t>
      </w:r>
      <w:r w:rsidR="002D7CC4" w:rsidRPr="00A160F7">
        <w:rPr>
          <w:i/>
        </w:rPr>
        <w:t>l</w:t>
      </w:r>
      <w:r w:rsidRPr="00A160F7">
        <w:rPr>
          <w:i/>
        </w:rPr>
        <w:t xml:space="preserve">ow </w:t>
      </w:r>
      <w:proofErr w:type="spellStart"/>
      <w:r w:rsidRPr="00A160F7">
        <w:rPr>
          <w:i/>
        </w:rPr>
        <w:t>repayers</w:t>
      </w:r>
      <w:proofErr w:type="spellEnd"/>
      <w:r w:rsidRPr="00A160F7">
        <w:rPr>
          <w:i/>
        </w:rPr>
        <w:t>.</w:t>
      </w:r>
      <w:proofErr w:type="gramEnd"/>
      <w:r w:rsidRPr="00A160F7">
        <w:rPr>
          <w:i/>
        </w:rPr>
        <w:t xml:space="preserve"> The characteristics of borrowers who make slow progress in reducing their student loans</w:t>
      </w:r>
      <w:r>
        <w:t>, Ministry of Education: Wellington.</w:t>
      </w:r>
    </w:p>
    <w:p w:rsidR="001A5B5E" w:rsidRDefault="00787597" w:rsidP="00182674">
      <w:pPr>
        <w:pStyle w:val="Referencetext"/>
        <w:ind w:left="1276" w:hanging="1276"/>
      </w:pPr>
      <w:r>
        <w:t xml:space="preserve">Crichton, S. and S. Dixon (2011) </w:t>
      </w:r>
      <w:proofErr w:type="gramStart"/>
      <w:r w:rsidRPr="00A160F7">
        <w:rPr>
          <w:i/>
        </w:rPr>
        <w:t>The</w:t>
      </w:r>
      <w:proofErr w:type="gramEnd"/>
      <w:r w:rsidRPr="00A160F7">
        <w:rPr>
          <w:i/>
        </w:rPr>
        <w:t xml:space="preserve"> labour market returns to further education for working adults</w:t>
      </w:r>
      <w:r>
        <w:t xml:space="preserve">, Department of </w:t>
      </w:r>
      <w:r w:rsidR="00DD0E5E">
        <w:t>Labour: Wellington.</w:t>
      </w:r>
    </w:p>
    <w:p w:rsidR="000752DA" w:rsidRDefault="000752DA" w:rsidP="000752DA">
      <w:pPr>
        <w:pStyle w:val="Referencetext"/>
        <w:ind w:left="1276" w:hanging="1276"/>
      </w:pPr>
      <w:r>
        <w:t xml:space="preserve">Earle, D. (2010) </w:t>
      </w:r>
      <w:r>
        <w:rPr>
          <w:i/>
        </w:rPr>
        <w:t>Skills, qualifications, experience and the distribution of wages</w:t>
      </w:r>
      <w:r>
        <w:t>, Tertiary education occasional paper 2010/04, Ministry of Education: Wellington.</w:t>
      </w:r>
    </w:p>
    <w:p w:rsidR="000752DA" w:rsidRDefault="000752DA" w:rsidP="000752DA">
      <w:pPr>
        <w:pStyle w:val="Referencetext"/>
        <w:ind w:left="1276" w:hanging="1276"/>
      </w:pPr>
      <w:proofErr w:type="spellStart"/>
      <w:proofErr w:type="gramStart"/>
      <w:r>
        <w:t>Engler</w:t>
      </w:r>
      <w:proofErr w:type="spellEnd"/>
      <w:r>
        <w:t xml:space="preserve">, R. (2012) </w:t>
      </w:r>
      <w:r w:rsidRPr="00DD0E5E">
        <w:rPr>
          <w:i/>
        </w:rPr>
        <w:t>Staying the course.</w:t>
      </w:r>
      <w:proofErr w:type="gramEnd"/>
      <w:r w:rsidRPr="00DD0E5E">
        <w:rPr>
          <w:i/>
        </w:rPr>
        <w:t xml:space="preserve"> School leavers completing their first one-year non-degree qualification</w:t>
      </w:r>
      <w:r>
        <w:t>, Ministry of Education: Wellington.</w:t>
      </w:r>
    </w:p>
    <w:p w:rsidR="001A5B5E" w:rsidRDefault="001A5B5E" w:rsidP="00182674">
      <w:pPr>
        <w:pStyle w:val="Referencetext"/>
        <w:ind w:left="1276" w:hanging="1276"/>
      </w:pPr>
      <w:r>
        <w:t xml:space="preserve">Griffin, F., D. Scott and R. Smyth (2005) </w:t>
      </w:r>
      <w:r w:rsidRPr="00A160F7">
        <w:rPr>
          <w:i/>
        </w:rPr>
        <w:t>Living with a student loan. A profile of student loan debt and repayment, post-study income and going overseas</w:t>
      </w:r>
      <w:r>
        <w:t>, Ministry of Education: Wellington.</w:t>
      </w:r>
    </w:p>
    <w:p w:rsidR="001A5B5E" w:rsidRDefault="001A5B5E" w:rsidP="00182674">
      <w:pPr>
        <w:pStyle w:val="Referencetext"/>
        <w:ind w:left="1276" w:hanging="1276"/>
      </w:pPr>
      <w:r>
        <w:t xml:space="preserve">Hyatt, J. (2005) </w:t>
      </w:r>
      <w:r w:rsidRPr="00A160F7">
        <w:rPr>
          <w:i/>
        </w:rPr>
        <w:t>Paying off a student loan. An analysis of progress to full repayment from the integrated dataset</w:t>
      </w:r>
      <w:r>
        <w:t>, Ministry of Education: Wellington.</w:t>
      </w:r>
    </w:p>
    <w:p w:rsidR="00A44BAB" w:rsidRPr="00A44BAB" w:rsidRDefault="00A44BAB" w:rsidP="00182674">
      <w:pPr>
        <w:pStyle w:val="Referencetext"/>
        <w:ind w:left="1276" w:hanging="1276"/>
      </w:pPr>
      <w:proofErr w:type="spellStart"/>
      <w:r>
        <w:t>Maani</w:t>
      </w:r>
      <w:proofErr w:type="spellEnd"/>
      <w:r>
        <w:t xml:space="preserve">, S. (1999) </w:t>
      </w:r>
      <w:r>
        <w:rPr>
          <w:i/>
        </w:rPr>
        <w:t xml:space="preserve">Private and public </w:t>
      </w:r>
      <w:proofErr w:type="gramStart"/>
      <w:r>
        <w:rPr>
          <w:i/>
        </w:rPr>
        <w:t>returns</w:t>
      </w:r>
      <w:proofErr w:type="gramEnd"/>
      <w:r>
        <w:rPr>
          <w:i/>
        </w:rPr>
        <w:t xml:space="preserve"> to investments in secondary and higher education in New Zealand over time: 1981–1996</w:t>
      </w:r>
      <w:r>
        <w:t>, Working paper 99/2, New Zealand Treasury: Wellington.</w:t>
      </w:r>
    </w:p>
    <w:p w:rsidR="00A160F7" w:rsidRDefault="00A160F7" w:rsidP="00182674">
      <w:pPr>
        <w:pStyle w:val="Referencetext"/>
        <w:ind w:left="1276" w:hanging="1276"/>
      </w:pPr>
      <w:r>
        <w:t xml:space="preserve">Mahoney, P. (2011) </w:t>
      </w:r>
      <w:proofErr w:type="gramStart"/>
      <w:r w:rsidRPr="00A160F7">
        <w:rPr>
          <w:i/>
        </w:rPr>
        <w:t>What</w:t>
      </w:r>
      <w:proofErr w:type="gramEnd"/>
      <w:r w:rsidRPr="00A160F7">
        <w:rPr>
          <w:i/>
        </w:rPr>
        <w:t xml:space="preserve"> do men and women earn after their tertiary education? </w:t>
      </w:r>
      <w:r>
        <w:t>Tertiary education occasional paper 2011/02, Ministry of Education: Wellington.</w:t>
      </w:r>
    </w:p>
    <w:p w:rsidR="00DB461B" w:rsidRDefault="00DB461B" w:rsidP="00182674">
      <w:pPr>
        <w:pStyle w:val="Referencetext"/>
        <w:ind w:left="1276" w:hanging="1276"/>
      </w:pPr>
      <w:proofErr w:type="gramStart"/>
      <w:r>
        <w:t xml:space="preserve">Mahoney, P., Z. Park and R. Smyth (2013) </w:t>
      </w:r>
      <w:r w:rsidRPr="00A160F7">
        <w:rPr>
          <w:i/>
        </w:rPr>
        <w:t>Moving on up.</w:t>
      </w:r>
      <w:proofErr w:type="gramEnd"/>
      <w:r w:rsidRPr="00A160F7">
        <w:rPr>
          <w:i/>
        </w:rPr>
        <w:t xml:space="preserve"> What young people earn after tertiary education</w:t>
      </w:r>
      <w:r>
        <w:t>, Ministry of Education: Wellington.</w:t>
      </w:r>
    </w:p>
    <w:p w:rsidR="001A5B5E" w:rsidRDefault="001A5B5E" w:rsidP="00182674">
      <w:pPr>
        <w:pStyle w:val="Referencetext"/>
        <w:ind w:left="1276" w:hanging="1276"/>
      </w:pPr>
      <w:r>
        <w:t xml:space="preserve">Ministry of Education (2012) </w:t>
      </w:r>
      <w:r w:rsidRPr="00A160F7">
        <w:rPr>
          <w:i/>
        </w:rPr>
        <w:t>Student loan scheme annual report October 2012</w:t>
      </w:r>
      <w:r>
        <w:t>, Ministry of Education: Wellington.</w:t>
      </w:r>
    </w:p>
    <w:p w:rsidR="00D93852" w:rsidRDefault="00D93852" w:rsidP="00182674">
      <w:pPr>
        <w:pStyle w:val="Referencetext"/>
        <w:ind w:left="1276" w:hanging="1276"/>
      </w:pPr>
      <w:r>
        <w:t>Park, Z.</w:t>
      </w:r>
      <w:r w:rsidR="00553E7B">
        <w:t>,</w:t>
      </w:r>
      <w:r>
        <w:t xml:space="preserve"> P. Mahoney, W. Smart, and </w:t>
      </w:r>
      <w:r w:rsidR="00553E7B">
        <w:t xml:space="preserve">R. Smyth (2013) </w:t>
      </w:r>
      <w:r w:rsidR="00553E7B" w:rsidRPr="00553E7B">
        <w:rPr>
          <w:i/>
        </w:rPr>
        <w:t>Looking at the employment outcomes of tertiary education. New data on the earnings of young graduates</w:t>
      </w:r>
      <w:r w:rsidR="00553E7B">
        <w:t>, Ministry of Education: Wellington.</w:t>
      </w:r>
    </w:p>
    <w:p w:rsidR="00D1276C" w:rsidRDefault="00D1276C" w:rsidP="00182674">
      <w:pPr>
        <w:pStyle w:val="Referencetext"/>
        <w:ind w:left="1276" w:hanging="1276"/>
      </w:pPr>
      <w:r>
        <w:t xml:space="preserve">Scott, D. (2009) </w:t>
      </w:r>
      <w:proofErr w:type="gramStart"/>
      <w:r w:rsidRPr="00A160F7">
        <w:rPr>
          <w:i/>
        </w:rPr>
        <w:t>What</w:t>
      </w:r>
      <w:proofErr w:type="gramEnd"/>
      <w:r w:rsidRPr="00A160F7">
        <w:rPr>
          <w:i/>
        </w:rPr>
        <w:t xml:space="preserve"> do students earn after their tertiary education?</w:t>
      </w:r>
      <w:r>
        <w:t xml:space="preserve"> Statistics New Zealand: Wellington.</w:t>
      </w:r>
    </w:p>
    <w:p w:rsidR="001A5B5E" w:rsidRDefault="001A5B5E" w:rsidP="00182674">
      <w:pPr>
        <w:pStyle w:val="Referencetext"/>
        <w:ind w:left="1276" w:hanging="1276"/>
      </w:pPr>
      <w:r>
        <w:t xml:space="preserve">Smyth, R. and J. Hyatt (2005) </w:t>
      </w:r>
      <w:proofErr w:type="gramStart"/>
      <w:r w:rsidRPr="00A160F7">
        <w:rPr>
          <w:i/>
        </w:rPr>
        <w:t>Who</w:t>
      </w:r>
      <w:proofErr w:type="gramEnd"/>
      <w:r w:rsidRPr="00A160F7">
        <w:rPr>
          <w:i/>
        </w:rPr>
        <w:t xml:space="preserve"> doesn’t pay back? The characteristics of borrowers who make no progress in reducing their student loans</w:t>
      </w:r>
      <w:r>
        <w:t>, Ministry of Education: Wellington.</w:t>
      </w:r>
    </w:p>
    <w:p w:rsidR="00E0216C" w:rsidRPr="00E0216C" w:rsidRDefault="00E0216C" w:rsidP="00E0216C">
      <w:pPr>
        <w:pStyle w:val="Referencetext"/>
        <w:ind w:left="1276" w:hanging="1276"/>
        <w:sectPr w:rsidR="00E0216C" w:rsidRPr="00E0216C" w:rsidSect="00027A31">
          <w:pgSz w:w="11906" w:h="16838" w:code="9"/>
          <w:pgMar w:top="1418" w:right="1701" w:bottom="1418" w:left="1701" w:header="709" w:footer="709" w:gutter="0"/>
          <w:cols w:space="708"/>
          <w:docGrid w:linePitch="360"/>
        </w:sectPr>
      </w:pPr>
      <w:proofErr w:type="gramStart"/>
      <w:r>
        <w:t xml:space="preserve">Stewart, A. and R. Owens (2013) </w:t>
      </w:r>
      <w:r w:rsidRPr="00E0216C">
        <w:rPr>
          <w:i/>
        </w:rPr>
        <w:t>Experience or exploitation?</w:t>
      </w:r>
      <w:proofErr w:type="gramEnd"/>
      <w:r w:rsidRPr="00E0216C">
        <w:rPr>
          <w:i/>
        </w:rPr>
        <w:t xml:space="preserve"> The nature, prevalence and regulation of unpaid work experience, internships and trial periods in Australia</w:t>
      </w:r>
      <w:r>
        <w:t>, Report for the Fair Work Ombudsman, University of South Australia: Adelaide.</w:t>
      </w:r>
    </w:p>
    <w:p w:rsidR="00767E52" w:rsidRDefault="00767E52" w:rsidP="00F0613C">
      <w:pPr>
        <w:pStyle w:val="BodyText"/>
      </w:pPr>
    </w:p>
    <w:sectPr w:rsidR="00767E52" w:rsidSect="00832F8A">
      <w:headerReference w:type="even" r:id="rId53"/>
      <w:headerReference w:type="default" r:id="rId54"/>
      <w:footerReference w:type="even" r:id="rId55"/>
      <w:footerReference w:type="default" r:id="rId56"/>
      <w:pgSz w:w="11906" w:h="16838" w:code="9"/>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A5B" w:rsidRDefault="00AF5A5B" w:rsidP="00326930">
      <w:r>
        <w:separator/>
      </w:r>
    </w:p>
  </w:endnote>
  <w:endnote w:type="continuationSeparator" w:id="0">
    <w:p w:rsidR="00AF5A5B" w:rsidRDefault="00AF5A5B" w:rsidP="00326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92253D" w:rsidP="00B5104A">
    <w:pPr>
      <w:framePr w:wrap="around" w:vAnchor="text" w:hAnchor="margin" w:xAlign="outside" w:y="1"/>
      <w:rPr>
        <w:rStyle w:val="PageNumber"/>
      </w:rPr>
    </w:pPr>
    <w:r>
      <w:rPr>
        <w:rStyle w:val="PageNumber"/>
      </w:rPr>
      <w:fldChar w:fldCharType="begin"/>
    </w:r>
    <w:r w:rsidR="00AF5A5B">
      <w:rPr>
        <w:rStyle w:val="PageNumber"/>
      </w:rPr>
      <w:instrText xml:space="preserve">PAGE  </w:instrText>
    </w:r>
    <w:r>
      <w:rPr>
        <w:rStyle w:val="PageNumber"/>
      </w:rPr>
      <w:fldChar w:fldCharType="separate"/>
    </w:r>
    <w:r w:rsidR="008B7BF0">
      <w:rPr>
        <w:rStyle w:val="PageNumber"/>
        <w:noProof/>
      </w:rPr>
      <w:t>4</w:t>
    </w:r>
    <w:r>
      <w:rPr>
        <w:rStyle w:val="PageNumber"/>
      </w:rPr>
      <w:fldChar w:fldCharType="end"/>
    </w:r>
  </w:p>
  <w:p w:rsidR="00AF5A5B" w:rsidRDefault="0092253D" w:rsidP="00FF204C">
    <w:pPr>
      <w:pStyle w:val="FooterEvenPage"/>
      <w:rPr>
        <w:b/>
      </w:rPr>
    </w:pPr>
    <w:fldSimple w:instr=" REF ReportTitle ">
      <w:r w:rsidR="00AF5A5B">
        <w:t>Was it worth it?</w:t>
      </w:r>
    </w:fldSimple>
    <w:r w:rsidR="00AF5A5B" w:rsidRPr="002907D0">
      <w:t xml:space="preserve">   </w:t>
    </w:r>
    <w:r w:rsidR="00AF5A5B">
      <w:t xml:space="preserve"> </w:t>
    </w:r>
    <w:r w:rsidR="00AF5A5B" w:rsidRPr="002907D0">
      <w:rPr>
        <w:b/>
      </w:rPr>
      <w:t xml:space="preserve"> Ministry of Education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92253D" w:rsidP="00B5104A">
    <w:pPr>
      <w:framePr w:wrap="around" w:vAnchor="text" w:hAnchor="margin" w:xAlign="outside" w:y="1"/>
      <w:rPr>
        <w:rStyle w:val="PageNumber"/>
      </w:rPr>
    </w:pPr>
    <w:r>
      <w:rPr>
        <w:rStyle w:val="PageNumber"/>
      </w:rPr>
      <w:fldChar w:fldCharType="begin"/>
    </w:r>
    <w:r w:rsidR="00AF5A5B">
      <w:rPr>
        <w:rStyle w:val="PageNumber"/>
      </w:rPr>
      <w:instrText xml:space="preserve">PAGE  </w:instrText>
    </w:r>
    <w:r>
      <w:rPr>
        <w:rStyle w:val="PageNumber"/>
      </w:rPr>
      <w:fldChar w:fldCharType="separate"/>
    </w:r>
    <w:r w:rsidR="008B7BF0">
      <w:rPr>
        <w:rStyle w:val="PageNumber"/>
        <w:noProof/>
      </w:rPr>
      <w:t>5</w:t>
    </w:r>
    <w:r>
      <w:rPr>
        <w:rStyle w:val="PageNumber"/>
      </w:rPr>
      <w:fldChar w:fldCharType="end"/>
    </w:r>
  </w:p>
  <w:p w:rsidR="00AF5A5B" w:rsidRPr="004A2E4F" w:rsidRDefault="0092253D" w:rsidP="004A2E4F">
    <w:pPr>
      <w:pStyle w:val="FooterOddPage"/>
    </w:pPr>
    <w:fldSimple w:instr=" REF ReportTitle  \* MERGEFORMAT ">
      <w:r w:rsidR="00AF5A5B">
        <w:t>Was it worth it?</w:t>
      </w:r>
    </w:fldSimple>
    <w:r w:rsidR="00AF5A5B" w:rsidRPr="004A2E4F">
      <w:t xml:space="preserve">    </w:t>
    </w:r>
    <w:r w:rsidR="00AF5A5B" w:rsidRPr="009930F4">
      <w:rPr>
        <w:b/>
      </w:rPr>
      <w:t xml:space="preserve"> Ministry of Education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Pr="00897DD0" w:rsidRDefault="00AF5A5B" w:rsidP="00942A6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Pr="0010602C" w:rsidRDefault="00AF5A5B" w:rsidP="00C6469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A5B" w:rsidRPr="00A554F4" w:rsidRDefault="00AF5A5B" w:rsidP="00326930">
      <w:pPr>
        <w:rPr>
          <w:color w:val="9A7735"/>
        </w:rPr>
      </w:pPr>
      <w:r w:rsidRPr="00A554F4">
        <w:rPr>
          <w:color w:val="9A7735"/>
        </w:rPr>
        <w:separator/>
      </w:r>
    </w:p>
  </w:footnote>
  <w:footnote w:type="continuationSeparator" w:id="0">
    <w:p w:rsidR="00AF5A5B" w:rsidRPr="00382758" w:rsidRDefault="00AF5A5B" w:rsidP="00326930">
      <w:pPr>
        <w:rPr>
          <w:color w:val="9A7735"/>
        </w:rPr>
      </w:pPr>
      <w:r w:rsidRPr="00382758">
        <w:rPr>
          <w:color w:val="9A7735"/>
        </w:rPr>
        <w:continuationSeparator/>
      </w:r>
    </w:p>
  </w:footnote>
  <w:footnote w:id="1">
    <w:p w:rsidR="00AF5A5B" w:rsidRDefault="00AF5A5B" w:rsidP="005665AE">
      <w:pPr>
        <w:pStyle w:val="FootnoteText"/>
      </w:pPr>
      <w:r>
        <w:rPr>
          <w:rStyle w:val="FootnoteReference"/>
        </w:rPr>
        <w:footnoteRef/>
      </w:r>
      <w:r>
        <w:t xml:space="preserve"> More precisely, it has to be </w:t>
      </w:r>
      <w:r w:rsidRPr="00A33857">
        <w:rPr>
          <w:i/>
        </w:rPr>
        <w:t>paid</w:t>
      </w:r>
      <w:r>
        <w:t xml:space="preserve"> employment. There is a world-wide trend for young graduates, or anyone attempting to start a new career, to work as unpaid interns. This is being driven by more difficult economic conditions and higher unemployment. More details, including the situation in New Zealand, can be found in the report by Stewart and Owens (2013).</w:t>
      </w:r>
    </w:p>
  </w:footnote>
  <w:footnote w:id="2">
    <w:p w:rsidR="00AF5A5B" w:rsidRDefault="00AF5A5B" w:rsidP="00B4085A">
      <w:pPr>
        <w:pStyle w:val="FootnoteText"/>
        <w:spacing w:after="120"/>
      </w:pPr>
      <w:r>
        <w:rPr>
          <w:rStyle w:val="FootnoteReference"/>
        </w:rPr>
        <w:footnoteRef/>
      </w:r>
      <w:r>
        <w:t xml:space="preserve"> The eligibility rules for student loans in New Zealand can be found at </w:t>
      </w:r>
      <w:r w:rsidRPr="00BE3876">
        <w:t>http://www.studylink.govt.nz/financing-study/student-loan/index.html</w:t>
      </w:r>
      <w:r>
        <w:t>.</w:t>
      </w:r>
    </w:p>
  </w:footnote>
  <w:footnote w:id="3">
    <w:p w:rsidR="00AF5A5B" w:rsidRDefault="00AF5A5B">
      <w:pPr>
        <w:pStyle w:val="FootnoteText"/>
      </w:pPr>
      <w:r>
        <w:rPr>
          <w:rStyle w:val="FootnoteReference"/>
        </w:rPr>
        <w:footnoteRef/>
      </w:r>
      <w:r>
        <w:t xml:space="preserve"> The loans remain interest-free if the student loan borrower remains in New Zealand after they finish their studies.</w:t>
      </w:r>
    </w:p>
  </w:footnote>
  <w:footnote w:id="4">
    <w:p w:rsidR="00AF5A5B" w:rsidRDefault="00AF5A5B" w:rsidP="00810896">
      <w:pPr>
        <w:pStyle w:val="FootnoteText"/>
        <w:spacing w:before="120" w:after="120"/>
      </w:pPr>
      <w:r>
        <w:rPr>
          <w:rStyle w:val="FootnoteReference"/>
        </w:rPr>
        <w:footnoteRef/>
      </w:r>
      <w:r>
        <w:t xml:space="preserve"> The rules for paying back a student loan in New Zealand can be found at </w:t>
      </w:r>
      <w:r w:rsidRPr="00BE3876">
        <w:t>http://www.studylink.govt.nz/finishing-study/paying-back-your-loan/index.html</w:t>
      </w:r>
      <w:r>
        <w:t>.</w:t>
      </w:r>
    </w:p>
  </w:footnote>
  <w:footnote w:id="5">
    <w:p w:rsidR="00AF5A5B" w:rsidRPr="00810896" w:rsidRDefault="00AF5A5B" w:rsidP="00637778">
      <w:pPr>
        <w:pStyle w:val="FootnoteText"/>
      </w:pPr>
      <w:r w:rsidRPr="00810896">
        <w:rPr>
          <w:rStyle w:val="FootnoteReference"/>
        </w:rPr>
        <w:footnoteRef/>
      </w:r>
      <w:r w:rsidRPr="00810896">
        <w:rPr>
          <w:rStyle w:val="FootnoteReference"/>
        </w:rPr>
        <w:t xml:space="preserve"> </w:t>
      </w:r>
      <w:r w:rsidRPr="00810896">
        <w:rPr>
          <w:rStyle w:val="FootnoteReference"/>
          <w:vertAlign w:val="baseline"/>
        </w:rPr>
        <w:t xml:space="preserve">Just to be clear, we are not asking </w:t>
      </w:r>
      <w:r>
        <w:rPr>
          <w:rStyle w:val="FootnoteReference"/>
          <w:vertAlign w:val="baseline"/>
        </w:rPr>
        <w:t>w</w:t>
      </w:r>
      <w:r>
        <w:t>hether</w:t>
      </w:r>
      <w:r w:rsidRPr="00810896">
        <w:rPr>
          <w:rStyle w:val="FootnoteReference"/>
          <w:vertAlign w:val="baseline"/>
        </w:rPr>
        <w:t xml:space="preserve"> tertiary study </w:t>
      </w:r>
      <w:r>
        <w:t xml:space="preserve">is </w:t>
      </w:r>
      <w:r w:rsidRPr="00810896">
        <w:rPr>
          <w:rStyle w:val="FootnoteReference"/>
          <w:vertAlign w:val="baseline"/>
        </w:rPr>
        <w:t>associated with better employment</w:t>
      </w:r>
      <w:r>
        <w:t xml:space="preserve"> outcomes</w:t>
      </w:r>
      <w:r w:rsidRPr="00810896">
        <w:rPr>
          <w:rStyle w:val="FootnoteReference"/>
          <w:vertAlign w:val="baseline"/>
        </w:rPr>
        <w:t xml:space="preserve"> or </w:t>
      </w:r>
      <w:r>
        <w:rPr>
          <w:rStyle w:val="FootnoteReference"/>
          <w:vertAlign w:val="baseline"/>
        </w:rPr>
        <w:t>w</w:t>
      </w:r>
      <w:r>
        <w:t>ith a</w:t>
      </w:r>
      <w:r>
        <w:rPr>
          <w:rStyle w:val="FootnoteReference"/>
          <w:vertAlign w:val="baseline"/>
        </w:rPr>
        <w:t xml:space="preserve"> lower likelihood of being on a </w:t>
      </w:r>
      <w:r w:rsidRPr="00810896">
        <w:rPr>
          <w:rStyle w:val="FootnoteReference"/>
          <w:vertAlign w:val="baseline"/>
        </w:rPr>
        <w:t>benefit</w:t>
      </w:r>
      <w:r>
        <w:rPr>
          <w:rStyle w:val="FootnoteReference"/>
          <w:vertAlign w:val="baseline"/>
        </w:rPr>
        <w:t xml:space="preserve">. </w:t>
      </w:r>
    </w:p>
  </w:footnote>
  <w:footnote w:id="6">
    <w:p w:rsidR="00AF5A5B" w:rsidRDefault="00AF5A5B" w:rsidP="00950E28">
      <w:pPr>
        <w:pStyle w:val="FootnoteText"/>
        <w:jc w:val="both"/>
      </w:pPr>
      <w:r>
        <w:rPr>
          <w:rStyle w:val="FootnoteReference"/>
        </w:rPr>
        <w:footnoteRef/>
      </w:r>
      <w:r>
        <w:t xml:space="preserve"> Income in our study is the sum of wages and salaries, self-employed income, ACC payments, other benefit payments, pensions, study grants and parental paid leave payments. Excluded is rental income and accommodation supplement payments. These excluded sources of income are not in the Inland Revenue income data we had access to.</w:t>
      </w:r>
    </w:p>
  </w:footnote>
  <w:footnote w:id="7">
    <w:p w:rsidR="00AF5A5B" w:rsidRDefault="00AF5A5B" w:rsidP="00950E28">
      <w:pPr>
        <w:pStyle w:val="FootnoteText"/>
        <w:jc w:val="both"/>
      </w:pPr>
      <w:r>
        <w:rPr>
          <w:rStyle w:val="FootnoteReference"/>
        </w:rPr>
        <w:footnoteRef/>
      </w:r>
      <w:r>
        <w:t xml:space="preserve"> The graphs are produced from the results of mixed model regressions, one for each combination of age group and highest level of tertiary study. Annual income was regressed against gender, benefit status, student loan status, enrolment status, whether a person had ever studied, completion status, time in years (as linear and quadratic terms), and time since completing (also as linear and quadratic terms), and their interactions. Pre-study income, the annual change in income pre- and post-study, and the step change in income on completing were modelled as random effects.</w:t>
      </w:r>
    </w:p>
  </w:footnote>
  <w:footnote w:id="8">
    <w:p w:rsidR="00AF5A5B" w:rsidRDefault="00AF5A5B" w:rsidP="00D91C6D">
      <w:pPr>
        <w:pStyle w:val="FootnoteText"/>
        <w:spacing w:after="120"/>
        <w:jc w:val="both"/>
      </w:pPr>
      <w:r>
        <w:rPr>
          <w:rStyle w:val="FootnoteReference"/>
        </w:rPr>
        <w:footnoteRef/>
      </w:r>
      <w:r>
        <w:t xml:space="preserve"> For people who earn a salary or wage, their job or position it usually associated with a salary range. The higher someone’s income is in that range, the lower their annual increment. Once the upper limit of the range is reached there might be no further increments unless the person changes position or there is a review of the salary range. </w:t>
      </w:r>
    </w:p>
  </w:footnote>
  <w:footnote w:id="9">
    <w:p w:rsidR="00AF5A5B" w:rsidRDefault="00AF5A5B" w:rsidP="001A4A71">
      <w:pPr>
        <w:pStyle w:val="FootnoteText"/>
        <w:spacing w:after="120"/>
        <w:jc w:val="both"/>
      </w:pPr>
      <w:r>
        <w:rPr>
          <w:rStyle w:val="FootnoteReference"/>
        </w:rPr>
        <w:footnoteRef/>
      </w:r>
      <w:r>
        <w:t xml:space="preserve"> These results are also derived from statistical modelling. </w:t>
      </w:r>
      <w:proofErr w:type="spellStart"/>
      <w:r>
        <w:t>Quantile</w:t>
      </w:r>
      <w:proofErr w:type="spellEnd"/>
      <w:r>
        <w:t xml:space="preserve"> regression was used to model the expected income in the year after completing a tertiary qualification, controlling for birth year, gender, benefit status and student loan status, conditional on the quartile of the income in the year after starting study.</w:t>
      </w:r>
    </w:p>
  </w:footnote>
  <w:footnote w:id="10">
    <w:p w:rsidR="00AF5A5B" w:rsidRDefault="00AF5A5B">
      <w:pPr>
        <w:pStyle w:val="FootnoteText"/>
      </w:pPr>
      <w:r>
        <w:rPr>
          <w:rStyle w:val="FootnoteReference"/>
        </w:rPr>
        <w:footnoteRef/>
      </w:r>
      <w:r>
        <w:t xml:space="preserve"> Since our lowest quartile was the 25</w:t>
      </w:r>
      <w:r w:rsidRPr="001A4A71">
        <w:rPr>
          <w:vertAlign w:val="superscript"/>
        </w:rPr>
        <w:t>th</w:t>
      </w:r>
      <w:r>
        <w:t xml:space="preserve"> percentile, we cannot say if someone with an income below this would have been above the student loan repayment threshold.</w:t>
      </w:r>
    </w:p>
  </w:footnote>
  <w:footnote w:id="11">
    <w:p w:rsidR="00AF5A5B" w:rsidRDefault="00AF5A5B" w:rsidP="008A623C">
      <w:pPr>
        <w:pStyle w:val="FootnoteText"/>
        <w:spacing w:after="120"/>
      </w:pPr>
      <w:r>
        <w:rPr>
          <w:rStyle w:val="FootnoteReference"/>
        </w:rPr>
        <w:footnoteRef/>
      </w:r>
      <w:r>
        <w:t xml:space="preserve"> Inland Revenue offers provisions for people who have a student loan and are in financial hardship. See </w:t>
      </w:r>
      <w:hyperlink r:id="rId1" w:history="1">
        <w:r w:rsidRPr="00335BCC">
          <w:rPr>
            <w:rStyle w:val="Hyperlink"/>
          </w:rPr>
          <w:t>http://www.ird.govt.nz/studentloans/payments/non-payment/</w:t>
        </w:r>
      </w:hyperlink>
      <w:r>
        <w:t xml:space="preserve"> for details.</w:t>
      </w:r>
    </w:p>
  </w:footnote>
  <w:footnote w:id="12">
    <w:p w:rsidR="00AF5A5B" w:rsidRDefault="00AF5A5B" w:rsidP="00F54C5E">
      <w:pPr>
        <w:pStyle w:val="FootnoteText"/>
        <w:spacing w:before="120" w:after="120"/>
        <w:jc w:val="both"/>
      </w:pPr>
      <w:r>
        <w:rPr>
          <w:rStyle w:val="FootnoteReference"/>
        </w:rPr>
        <w:footnoteRef/>
      </w:r>
      <w:r>
        <w:t xml:space="preserve"> There were significant changes to the New Zealand benefits system in July 2013. One of these was to combine the unemployment, sickness, </w:t>
      </w:r>
      <w:proofErr w:type="gramStart"/>
      <w:r>
        <w:t>widow’s</w:t>
      </w:r>
      <w:proofErr w:type="gramEnd"/>
      <w:r>
        <w:t xml:space="preserve"> and domestic purposes benefits into a new benefit type, Jobseeker Support. However, for the people in our study populations, the old benefit types still applied. More details can be found </w:t>
      </w:r>
      <w:proofErr w:type="gramStart"/>
      <w:r>
        <w:t xml:space="preserve">at  </w:t>
      </w:r>
      <w:proofErr w:type="gramEnd"/>
      <w:hyperlink r:id="rId2" w:history="1">
        <w:r w:rsidRPr="000D0B5E">
          <w:rPr>
            <w:rStyle w:val="Hyperlink"/>
          </w:rPr>
          <w:t>http://www.workandincome.govt.nz/individuals/brochures/moving-to-job-seeker-support-what-you-need-to-know.html</w:t>
        </w:r>
      </w:hyperlink>
      <w:r>
        <w:t>.</w:t>
      </w:r>
    </w:p>
  </w:footnote>
  <w:footnote w:id="13">
    <w:p w:rsidR="00AF5A5B" w:rsidRDefault="00AF5A5B">
      <w:pPr>
        <w:pStyle w:val="FootnoteText"/>
      </w:pPr>
      <w:r>
        <w:rPr>
          <w:rStyle w:val="FootnoteReference"/>
        </w:rPr>
        <w:footnoteRef/>
      </w:r>
      <w:r>
        <w:t xml:space="preserve"> Document literacy is the ability to understand short texts, charts and tables. It most closely fits common workplace literacy and numeracy tasks (Earle 2010).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AF5A5B">
    <w:pPr>
      <w:pStyle w:val="Header"/>
    </w:pPr>
    <w:r>
      <w:rPr>
        <w:noProof/>
        <w:lang w:eastAsia="en-NZ"/>
      </w:rPr>
      <w:drawing>
        <wp:anchor distT="0" distB="0" distL="114300" distR="114300" simplePos="0" relativeHeight="251658752" behindDoc="0" locked="0" layoutInCell="1" allowOverlap="1">
          <wp:simplePos x="0" y="0"/>
          <wp:positionH relativeFrom="margin">
            <wp:posOffset>-1143000</wp:posOffset>
          </wp:positionH>
          <wp:positionV relativeFrom="margin">
            <wp:posOffset>-914400</wp:posOffset>
          </wp:positionV>
          <wp:extent cx="7668260" cy="10858500"/>
          <wp:effectExtent l="19050" t="0" r="8890" b="0"/>
          <wp:wrapNone/>
          <wp:docPr id="25" name="Picture 25" descr="08-outcomes-fron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8-outcomes-front-image"/>
                  <pic:cNvPicPr>
                    <a:picLocks noChangeAspect="1" noChangeArrowheads="1"/>
                  </pic:cNvPicPr>
                </pic:nvPicPr>
                <pic:blipFill>
                  <a:blip r:embed="rId1"/>
                  <a:srcRect/>
                  <a:stretch>
                    <a:fillRect/>
                  </a:stretch>
                </pic:blipFill>
                <pic:spPr bwMode="auto">
                  <a:xfrm>
                    <a:off x="0" y="0"/>
                    <a:ext cx="7668260" cy="108585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AF5A5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Pr="00420319" w:rsidRDefault="00AF5A5B" w:rsidP="00420319">
    <w:pPr>
      <w:pStyle w:val="Header"/>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Pr="00420319" w:rsidRDefault="00AF5A5B" w:rsidP="00420319">
    <w:pPr>
      <w:pStyle w:val="Header"/>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AF5A5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AF5A5B">
    <w:pPr>
      <w:pStyle w:val="Header"/>
    </w:pPr>
    <w:r>
      <w:rPr>
        <w:noProof/>
        <w:lang w:eastAsia="en-NZ"/>
      </w:rPr>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576185" cy="10695305"/>
          <wp:effectExtent l="19050" t="0" r="5715" b="0"/>
          <wp:wrapNone/>
          <wp:docPr id="24" name="Picture 24"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A5B" w:rsidRDefault="00AF5A5B">
    <w:pPr>
      <w:pStyle w:val="Header"/>
    </w:pPr>
    <w:r>
      <w:rPr>
        <w:noProof/>
        <w:lang w:eastAsia="en-NZ"/>
      </w:rPr>
      <w:drawing>
        <wp:anchor distT="0" distB="0" distL="114300" distR="114300" simplePos="0" relativeHeight="251656704" behindDoc="1" locked="1" layoutInCell="1" allowOverlap="1">
          <wp:simplePos x="0" y="0"/>
          <wp:positionH relativeFrom="page">
            <wp:align>center</wp:align>
          </wp:positionH>
          <wp:positionV relativeFrom="page">
            <wp:align>top</wp:align>
          </wp:positionV>
          <wp:extent cx="7576185" cy="10695305"/>
          <wp:effectExtent l="19050" t="0" r="5715" b="0"/>
          <wp:wrapNone/>
          <wp:docPr id="23" name="Picture 23" descr="08-outcomes-back_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8-outcomes-back_200"/>
                  <pic:cNvPicPr>
                    <a:picLocks noChangeAspect="1" noChangeArrowheads="1"/>
                  </pic:cNvPicPr>
                </pic:nvPicPr>
                <pic:blipFill>
                  <a:blip r:embed="rId1"/>
                  <a:srcRect/>
                  <a:stretch>
                    <a:fillRect/>
                  </a:stretch>
                </pic:blipFill>
                <pic:spPr bwMode="auto">
                  <a:xfrm>
                    <a:off x="0" y="0"/>
                    <a:ext cx="7576185" cy="106953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7008E6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CA0222"/>
    <w:multiLevelType w:val="hybridMultilevel"/>
    <w:tmpl w:val="CC0C85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07144C65"/>
    <w:multiLevelType w:val="hybridMultilevel"/>
    <w:tmpl w:val="E6A60C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951128D"/>
    <w:multiLevelType w:val="hybridMultilevel"/>
    <w:tmpl w:val="CDF0F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EE57F4D"/>
    <w:multiLevelType w:val="hybridMultilevel"/>
    <w:tmpl w:val="19D08012"/>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5">
    <w:nsid w:val="243128B1"/>
    <w:multiLevelType w:val="hybridMultilevel"/>
    <w:tmpl w:val="85DA65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262459A5"/>
    <w:multiLevelType w:val="hybridMultilevel"/>
    <w:tmpl w:val="A732C9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6996630"/>
    <w:multiLevelType w:val="hybridMultilevel"/>
    <w:tmpl w:val="37286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398D20ED"/>
    <w:multiLevelType w:val="hybridMultilevel"/>
    <w:tmpl w:val="D9A41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CAF3B89"/>
    <w:multiLevelType w:val="hybridMultilevel"/>
    <w:tmpl w:val="F8021D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3FFA209B"/>
    <w:multiLevelType w:val="multilevel"/>
    <w:tmpl w:val="9BE67608"/>
    <w:lvl w:ilvl="0">
      <w:start w:val="1"/>
      <w:numFmt w:val="upperLetter"/>
      <w:pStyle w:val="Appendix"/>
      <w:lvlText w:val="Appendix %1 "/>
      <w:lvlJc w:val="left"/>
      <w:pPr>
        <w:tabs>
          <w:tab w:val="num" w:pos="2155"/>
        </w:tabs>
        <w:ind w:left="2155" w:hanging="2155"/>
      </w:pPr>
      <w:rPr>
        <w:rFonts w:hint="default"/>
      </w:rPr>
    </w:lvl>
    <w:lvl w:ilvl="1">
      <w:start w:val="1"/>
      <w:numFmt w:val="decimal"/>
      <w:pStyle w:val="AppendixSub"/>
      <w:lvlText w:val="%1.%2"/>
      <w:lvlJc w:val="left"/>
      <w:pPr>
        <w:tabs>
          <w:tab w:val="num" w:pos="567"/>
        </w:tabs>
        <w:ind w:left="567" w:hanging="567"/>
      </w:pPr>
      <w:rPr>
        <w:rFonts w:hint="default"/>
      </w:rPr>
    </w:lvl>
    <w:lvl w:ilvl="2">
      <w:start w:val="1"/>
      <w:numFmt w:val="decimal"/>
      <w:lvlText w:val="%1.%2.%3"/>
      <w:lvlJc w:val="left"/>
      <w:pPr>
        <w:tabs>
          <w:tab w:val="num" w:pos="1418"/>
        </w:tabs>
        <w:ind w:left="1418" w:hanging="851"/>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1">
    <w:nsid w:val="4EC81851"/>
    <w:multiLevelType w:val="hybridMultilevel"/>
    <w:tmpl w:val="D5302B4A"/>
    <w:lvl w:ilvl="0" w:tplc="3092ACAA">
      <w:start w:val="1"/>
      <w:numFmt w:val="bullet"/>
      <w:pStyle w:val="Bullet1"/>
      <w:lvlText w:val=""/>
      <w:lvlJc w:val="left"/>
      <w:pPr>
        <w:tabs>
          <w:tab w:val="num" w:pos="1134"/>
        </w:tabs>
        <w:ind w:left="1134" w:hanging="397"/>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0661322"/>
    <w:multiLevelType w:val="hybridMultilevel"/>
    <w:tmpl w:val="624C8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537D331A"/>
    <w:multiLevelType w:val="hybridMultilevel"/>
    <w:tmpl w:val="1B90C94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8894349"/>
    <w:multiLevelType w:val="hybridMultilevel"/>
    <w:tmpl w:val="D1AC2D70"/>
    <w:lvl w:ilvl="0" w:tplc="42F65768">
      <w:start w:val="1"/>
      <w:numFmt w:val="bullet"/>
      <w:lvlText w:val=""/>
      <w:lvlJc w:val="left"/>
      <w:pPr>
        <w:ind w:left="786" w:hanging="360"/>
      </w:pPr>
      <w:rPr>
        <w:rFonts w:ascii="Symbol" w:hAnsi="Symbol"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60A277DA"/>
    <w:multiLevelType w:val="hybridMultilevel"/>
    <w:tmpl w:val="6A665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663D114B"/>
    <w:multiLevelType w:val="hybridMultilevel"/>
    <w:tmpl w:val="5E8E0B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6DDD761B"/>
    <w:multiLevelType w:val="multilevel"/>
    <w:tmpl w:val="2BD2897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b w:val="0"/>
        <w:i w:val="0"/>
        <w:sz w:val="28"/>
      </w:rPr>
    </w:lvl>
    <w:lvl w:ilvl="2">
      <w:start w:val="1"/>
      <w:numFmt w:val="decimal"/>
      <w:lvlRestart w:val="1"/>
      <w:pStyle w:val="Heading2a"/>
      <w:lvlText w:val="%1.%3"/>
      <w:lvlJc w:val="left"/>
      <w:pPr>
        <w:tabs>
          <w:tab w:val="num" w:pos="567"/>
        </w:tabs>
        <w:ind w:left="567" w:hanging="567"/>
      </w:pPr>
      <w:rPr>
        <w:rFonts w:hint="default"/>
      </w:rPr>
    </w:lvl>
    <w:lvl w:ilvl="3">
      <w:start w:val="1"/>
      <w:numFmt w:val="lowerRoman"/>
      <w:lvlText w:val="(%4)"/>
      <w:lvlJc w:val="left"/>
      <w:pPr>
        <w:tabs>
          <w:tab w:val="num" w:pos="2268"/>
        </w:tabs>
        <w:ind w:left="2268" w:hanging="567"/>
      </w:pPr>
      <w:rPr>
        <w:rFonts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8">
    <w:nsid w:val="7C483C7C"/>
    <w:multiLevelType w:val="hybridMultilevel"/>
    <w:tmpl w:val="424E26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1"/>
  </w:num>
  <w:num w:numId="4">
    <w:abstractNumId w:val="10"/>
  </w:num>
  <w:num w:numId="5">
    <w:abstractNumId w:val="15"/>
  </w:num>
  <w:num w:numId="6">
    <w:abstractNumId w:val="8"/>
  </w:num>
  <w:num w:numId="7">
    <w:abstractNumId w:val="1"/>
  </w:num>
  <w:num w:numId="8">
    <w:abstractNumId w:val="9"/>
  </w:num>
  <w:num w:numId="9">
    <w:abstractNumId w:val="16"/>
  </w:num>
  <w:num w:numId="10">
    <w:abstractNumId w:val="6"/>
  </w:num>
  <w:num w:numId="11">
    <w:abstractNumId w:val="13"/>
  </w:num>
  <w:num w:numId="12">
    <w:abstractNumId w:val="7"/>
  </w:num>
  <w:num w:numId="13">
    <w:abstractNumId w:val="14"/>
  </w:num>
  <w:num w:numId="14">
    <w:abstractNumId w:val="12"/>
  </w:num>
  <w:num w:numId="15">
    <w:abstractNumId w:val="3"/>
  </w:num>
  <w:num w:numId="16">
    <w:abstractNumId w:val="18"/>
  </w:num>
  <w:num w:numId="17">
    <w:abstractNumId w:val="4"/>
  </w:num>
  <w:num w:numId="18">
    <w:abstractNumId w:val="5"/>
  </w:num>
  <w:num w:numId="19">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proofState w:spelling="clean" w:grammar="clean"/>
  <w:stylePaneFormatFilter w:val="3001"/>
  <w:defaultTabStop w:val="567"/>
  <w:evenAndOddHeaders/>
  <w:drawingGridHorizontalSpacing w:val="110"/>
  <w:displayHorizontalDrawingGridEvery w:val="2"/>
  <w:noPunctuationKerning/>
  <w:characterSpacingControl w:val="doNotCompress"/>
  <w:hdrShapeDefaults>
    <o:shapedefaults v:ext="edit" spidmax="188417"/>
  </w:hdrShapeDefaults>
  <w:footnotePr>
    <w:footnote w:id="-1"/>
    <w:footnote w:id="0"/>
  </w:footnotePr>
  <w:endnotePr>
    <w:endnote w:id="-1"/>
    <w:endnote w:id="0"/>
  </w:endnotePr>
  <w:compat/>
  <w:rsids>
    <w:rsidRoot w:val="00B419A5"/>
    <w:rsid w:val="00000B89"/>
    <w:rsid w:val="000013DE"/>
    <w:rsid w:val="0000482C"/>
    <w:rsid w:val="00005616"/>
    <w:rsid w:val="00005A1A"/>
    <w:rsid w:val="000069AA"/>
    <w:rsid w:val="00006C62"/>
    <w:rsid w:val="00006FC5"/>
    <w:rsid w:val="00010A86"/>
    <w:rsid w:val="00011121"/>
    <w:rsid w:val="00011D25"/>
    <w:rsid w:val="000125EE"/>
    <w:rsid w:val="000128A8"/>
    <w:rsid w:val="000135AB"/>
    <w:rsid w:val="000139C6"/>
    <w:rsid w:val="00013E86"/>
    <w:rsid w:val="00014DA5"/>
    <w:rsid w:val="00015172"/>
    <w:rsid w:val="00015358"/>
    <w:rsid w:val="0001558D"/>
    <w:rsid w:val="00015B12"/>
    <w:rsid w:val="00016128"/>
    <w:rsid w:val="0001651C"/>
    <w:rsid w:val="00017954"/>
    <w:rsid w:val="00021125"/>
    <w:rsid w:val="000213E6"/>
    <w:rsid w:val="00022238"/>
    <w:rsid w:val="000222E1"/>
    <w:rsid w:val="000267B2"/>
    <w:rsid w:val="00026A1F"/>
    <w:rsid w:val="00027A31"/>
    <w:rsid w:val="000328D8"/>
    <w:rsid w:val="00032954"/>
    <w:rsid w:val="00032A07"/>
    <w:rsid w:val="0003332A"/>
    <w:rsid w:val="0003468B"/>
    <w:rsid w:val="000356E9"/>
    <w:rsid w:val="00035A66"/>
    <w:rsid w:val="00035CF4"/>
    <w:rsid w:val="000365A0"/>
    <w:rsid w:val="00036603"/>
    <w:rsid w:val="0003686B"/>
    <w:rsid w:val="00037082"/>
    <w:rsid w:val="00037730"/>
    <w:rsid w:val="00037738"/>
    <w:rsid w:val="000413D7"/>
    <w:rsid w:val="00041DC8"/>
    <w:rsid w:val="00041E05"/>
    <w:rsid w:val="000422E2"/>
    <w:rsid w:val="0004326C"/>
    <w:rsid w:val="00043430"/>
    <w:rsid w:val="000434C1"/>
    <w:rsid w:val="00047D55"/>
    <w:rsid w:val="00050E38"/>
    <w:rsid w:val="00052107"/>
    <w:rsid w:val="00053781"/>
    <w:rsid w:val="000547D0"/>
    <w:rsid w:val="00054B89"/>
    <w:rsid w:val="00054F07"/>
    <w:rsid w:val="00055D22"/>
    <w:rsid w:val="000564AD"/>
    <w:rsid w:val="000602FE"/>
    <w:rsid w:val="000612F1"/>
    <w:rsid w:val="000616A3"/>
    <w:rsid w:val="00062DDB"/>
    <w:rsid w:val="00064063"/>
    <w:rsid w:val="00064455"/>
    <w:rsid w:val="00065B09"/>
    <w:rsid w:val="000678A6"/>
    <w:rsid w:val="00070C0C"/>
    <w:rsid w:val="00072166"/>
    <w:rsid w:val="00073655"/>
    <w:rsid w:val="00073B66"/>
    <w:rsid w:val="00074029"/>
    <w:rsid w:val="000742FA"/>
    <w:rsid w:val="00074432"/>
    <w:rsid w:val="00074587"/>
    <w:rsid w:val="00074DFF"/>
    <w:rsid w:val="000752DA"/>
    <w:rsid w:val="000770B2"/>
    <w:rsid w:val="00077A37"/>
    <w:rsid w:val="0008265F"/>
    <w:rsid w:val="00083735"/>
    <w:rsid w:val="00083AB3"/>
    <w:rsid w:val="0008645C"/>
    <w:rsid w:val="000868C9"/>
    <w:rsid w:val="00086F64"/>
    <w:rsid w:val="0008762B"/>
    <w:rsid w:val="00087757"/>
    <w:rsid w:val="000902F4"/>
    <w:rsid w:val="000919E8"/>
    <w:rsid w:val="0009211C"/>
    <w:rsid w:val="000922D8"/>
    <w:rsid w:val="000930D5"/>
    <w:rsid w:val="00095AD9"/>
    <w:rsid w:val="0009650B"/>
    <w:rsid w:val="0009659C"/>
    <w:rsid w:val="00096CE7"/>
    <w:rsid w:val="00097AA9"/>
    <w:rsid w:val="000A1294"/>
    <w:rsid w:val="000A1D24"/>
    <w:rsid w:val="000A1FAD"/>
    <w:rsid w:val="000A2732"/>
    <w:rsid w:val="000A339F"/>
    <w:rsid w:val="000A359E"/>
    <w:rsid w:val="000A4163"/>
    <w:rsid w:val="000A5044"/>
    <w:rsid w:val="000A5164"/>
    <w:rsid w:val="000A53B6"/>
    <w:rsid w:val="000A5773"/>
    <w:rsid w:val="000A5DDD"/>
    <w:rsid w:val="000A7DF1"/>
    <w:rsid w:val="000B13D7"/>
    <w:rsid w:val="000B22AC"/>
    <w:rsid w:val="000B3CFC"/>
    <w:rsid w:val="000B40EF"/>
    <w:rsid w:val="000B4A63"/>
    <w:rsid w:val="000B6A62"/>
    <w:rsid w:val="000B6F58"/>
    <w:rsid w:val="000B6FDF"/>
    <w:rsid w:val="000C015A"/>
    <w:rsid w:val="000C031B"/>
    <w:rsid w:val="000C13E2"/>
    <w:rsid w:val="000C15AF"/>
    <w:rsid w:val="000C1CD7"/>
    <w:rsid w:val="000C35D5"/>
    <w:rsid w:val="000C371E"/>
    <w:rsid w:val="000C3909"/>
    <w:rsid w:val="000C4F22"/>
    <w:rsid w:val="000C547E"/>
    <w:rsid w:val="000C7C37"/>
    <w:rsid w:val="000D0290"/>
    <w:rsid w:val="000D11D6"/>
    <w:rsid w:val="000D2E0B"/>
    <w:rsid w:val="000D369D"/>
    <w:rsid w:val="000D3FA8"/>
    <w:rsid w:val="000D5CFA"/>
    <w:rsid w:val="000D6968"/>
    <w:rsid w:val="000D6C6A"/>
    <w:rsid w:val="000D6D72"/>
    <w:rsid w:val="000E3322"/>
    <w:rsid w:val="000E39FA"/>
    <w:rsid w:val="000E4585"/>
    <w:rsid w:val="000E50C9"/>
    <w:rsid w:val="000E6A35"/>
    <w:rsid w:val="000E6E4C"/>
    <w:rsid w:val="000E6E55"/>
    <w:rsid w:val="000E72A2"/>
    <w:rsid w:val="000E7B81"/>
    <w:rsid w:val="000E7EDA"/>
    <w:rsid w:val="000F0FC2"/>
    <w:rsid w:val="000F1CDE"/>
    <w:rsid w:val="000F1FAF"/>
    <w:rsid w:val="000F21BB"/>
    <w:rsid w:val="000F32F1"/>
    <w:rsid w:val="000F354C"/>
    <w:rsid w:val="000F4B33"/>
    <w:rsid w:val="000F526C"/>
    <w:rsid w:val="000F5602"/>
    <w:rsid w:val="000F57F5"/>
    <w:rsid w:val="000F5E5F"/>
    <w:rsid w:val="000F67D0"/>
    <w:rsid w:val="000F6B75"/>
    <w:rsid w:val="000F7EBA"/>
    <w:rsid w:val="00100D04"/>
    <w:rsid w:val="00101122"/>
    <w:rsid w:val="00101D06"/>
    <w:rsid w:val="0010267D"/>
    <w:rsid w:val="001038A7"/>
    <w:rsid w:val="00103CF3"/>
    <w:rsid w:val="00104B5D"/>
    <w:rsid w:val="00105E39"/>
    <w:rsid w:val="001066BA"/>
    <w:rsid w:val="001100F4"/>
    <w:rsid w:val="00110A56"/>
    <w:rsid w:val="00110C7B"/>
    <w:rsid w:val="00111782"/>
    <w:rsid w:val="00114623"/>
    <w:rsid w:val="00114A24"/>
    <w:rsid w:val="00114A68"/>
    <w:rsid w:val="00114D8E"/>
    <w:rsid w:val="00114F3A"/>
    <w:rsid w:val="00116649"/>
    <w:rsid w:val="00116D03"/>
    <w:rsid w:val="00120316"/>
    <w:rsid w:val="00120AEF"/>
    <w:rsid w:val="00122074"/>
    <w:rsid w:val="0012207A"/>
    <w:rsid w:val="0012429C"/>
    <w:rsid w:val="0012450A"/>
    <w:rsid w:val="0012544F"/>
    <w:rsid w:val="00125717"/>
    <w:rsid w:val="00126DD7"/>
    <w:rsid w:val="00127641"/>
    <w:rsid w:val="001279CC"/>
    <w:rsid w:val="00130264"/>
    <w:rsid w:val="0013186F"/>
    <w:rsid w:val="00131CC4"/>
    <w:rsid w:val="00131E83"/>
    <w:rsid w:val="0013215F"/>
    <w:rsid w:val="0013294B"/>
    <w:rsid w:val="001335F4"/>
    <w:rsid w:val="00134A48"/>
    <w:rsid w:val="00134B1E"/>
    <w:rsid w:val="00135902"/>
    <w:rsid w:val="00135BBC"/>
    <w:rsid w:val="001373B5"/>
    <w:rsid w:val="00137F9B"/>
    <w:rsid w:val="00141F6A"/>
    <w:rsid w:val="00142ABF"/>
    <w:rsid w:val="0014332E"/>
    <w:rsid w:val="001440C1"/>
    <w:rsid w:val="00145052"/>
    <w:rsid w:val="00145D68"/>
    <w:rsid w:val="00147F46"/>
    <w:rsid w:val="001506C4"/>
    <w:rsid w:val="00150A89"/>
    <w:rsid w:val="00151A0C"/>
    <w:rsid w:val="00151B0C"/>
    <w:rsid w:val="0015244E"/>
    <w:rsid w:val="001526A1"/>
    <w:rsid w:val="00154BDE"/>
    <w:rsid w:val="00155AD0"/>
    <w:rsid w:val="001574FD"/>
    <w:rsid w:val="0016006A"/>
    <w:rsid w:val="001609E9"/>
    <w:rsid w:val="001611A6"/>
    <w:rsid w:val="00161A7B"/>
    <w:rsid w:val="00162B69"/>
    <w:rsid w:val="00162C43"/>
    <w:rsid w:val="001634F9"/>
    <w:rsid w:val="00165BA5"/>
    <w:rsid w:val="00165DDA"/>
    <w:rsid w:val="00166A10"/>
    <w:rsid w:val="00166CD2"/>
    <w:rsid w:val="00166DBA"/>
    <w:rsid w:val="00167580"/>
    <w:rsid w:val="001706A8"/>
    <w:rsid w:val="00173AB5"/>
    <w:rsid w:val="00174636"/>
    <w:rsid w:val="0017636B"/>
    <w:rsid w:val="001766BE"/>
    <w:rsid w:val="00177D52"/>
    <w:rsid w:val="001802DD"/>
    <w:rsid w:val="00180663"/>
    <w:rsid w:val="00180B9C"/>
    <w:rsid w:val="0018227B"/>
    <w:rsid w:val="0018230F"/>
    <w:rsid w:val="00182674"/>
    <w:rsid w:val="00185687"/>
    <w:rsid w:val="0018571D"/>
    <w:rsid w:val="00185B3F"/>
    <w:rsid w:val="00190462"/>
    <w:rsid w:val="001912D3"/>
    <w:rsid w:val="00191D4C"/>
    <w:rsid w:val="00191F4A"/>
    <w:rsid w:val="0019368A"/>
    <w:rsid w:val="00193A71"/>
    <w:rsid w:val="0019512C"/>
    <w:rsid w:val="00196EB3"/>
    <w:rsid w:val="001974B2"/>
    <w:rsid w:val="001A0476"/>
    <w:rsid w:val="001A0B10"/>
    <w:rsid w:val="001A0C1D"/>
    <w:rsid w:val="001A0CE1"/>
    <w:rsid w:val="001A0DC4"/>
    <w:rsid w:val="001A11A5"/>
    <w:rsid w:val="001A135F"/>
    <w:rsid w:val="001A17D8"/>
    <w:rsid w:val="001A1B21"/>
    <w:rsid w:val="001A24F1"/>
    <w:rsid w:val="001A3472"/>
    <w:rsid w:val="001A35F8"/>
    <w:rsid w:val="001A3D53"/>
    <w:rsid w:val="001A462B"/>
    <w:rsid w:val="001A4A71"/>
    <w:rsid w:val="001A4BE7"/>
    <w:rsid w:val="001A5B5E"/>
    <w:rsid w:val="001A5B67"/>
    <w:rsid w:val="001A5E97"/>
    <w:rsid w:val="001A6373"/>
    <w:rsid w:val="001A638B"/>
    <w:rsid w:val="001A75FF"/>
    <w:rsid w:val="001A7B41"/>
    <w:rsid w:val="001B12A8"/>
    <w:rsid w:val="001B2E47"/>
    <w:rsid w:val="001B35DB"/>
    <w:rsid w:val="001B3871"/>
    <w:rsid w:val="001B4F04"/>
    <w:rsid w:val="001B50EE"/>
    <w:rsid w:val="001B63FE"/>
    <w:rsid w:val="001B6CA2"/>
    <w:rsid w:val="001B774E"/>
    <w:rsid w:val="001C0B84"/>
    <w:rsid w:val="001C2261"/>
    <w:rsid w:val="001C34F8"/>
    <w:rsid w:val="001C4368"/>
    <w:rsid w:val="001C4CC8"/>
    <w:rsid w:val="001C5E99"/>
    <w:rsid w:val="001C6483"/>
    <w:rsid w:val="001C6542"/>
    <w:rsid w:val="001C685A"/>
    <w:rsid w:val="001C69A7"/>
    <w:rsid w:val="001C6CA7"/>
    <w:rsid w:val="001C6F54"/>
    <w:rsid w:val="001C72C7"/>
    <w:rsid w:val="001C77EC"/>
    <w:rsid w:val="001D024C"/>
    <w:rsid w:val="001D0457"/>
    <w:rsid w:val="001D06AF"/>
    <w:rsid w:val="001D0A2B"/>
    <w:rsid w:val="001D0F25"/>
    <w:rsid w:val="001D1658"/>
    <w:rsid w:val="001D1D23"/>
    <w:rsid w:val="001D28BD"/>
    <w:rsid w:val="001D4EF0"/>
    <w:rsid w:val="001D6EB3"/>
    <w:rsid w:val="001E00F3"/>
    <w:rsid w:val="001E074B"/>
    <w:rsid w:val="001E0CC0"/>
    <w:rsid w:val="001E19F7"/>
    <w:rsid w:val="001E1A57"/>
    <w:rsid w:val="001E23AC"/>
    <w:rsid w:val="001E4776"/>
    <w:rsid w:val="001E4874"/>
    <w:rsid w:val="001E5C36"/>
    <w:rsid w:val="001E6175"/>
    <w:rsid w:val="001E66AE"/>
    <w:rsid w:val="001E7F0F"/>
    <w:rsid w:val="001F0617"/>
    <w:rsid w:val="001F0DBB"/>
    <w:rsid w:val="001F1231"/>
    <w:rsid w:val="001F1A4B"/>
    <w:rsid w:val="001F1F32"/>
    <w:rsid w:val="001F35A2"/>
    <w:rsid w:val="001F3E10"/>
    <w:rsid w:val="001F64D7"/>
    <w:rsid w:val="001F6768"/>
    <w:rsid w:val="001F71B5"/>
    <w:rsid w:val="001F7F9F"/>
    <w:rsid w:val="0020113A"/>
    <w:rsid w:val="002017C1"/>
    <w:rsid w:val="002017DA"/>
    <w:rsid w:val="00202D81"/>
    <w:rsid w:val="00203A36"/>
    <w:rsid w:val="002058F3"/>
    <w:rsid w:val="00205C15"/>
    <w:rsid w:val="0020600C"/>
    <w:rsid w:val="002063F3"/>
    <w:rsid w:val="00207F77"/>
    <w:rsid w:val="00213643"/>
    <w:rsid w:val="00213D54"/>
    <w:rsid w:val="002144A4"/>
    <w:rsid w:val="002147C6"/>
    <w:rsid w:val="00215435"/>
    <w:rsid w:val="0021670C"/>
    <w:rsid w:val="00217633"/>
    <w:rsid w:val="00220783"/>
    <w:rsid w:val="0022161B"/>
    <w:rsid w:val="002222FF"/>
    <w:rsid w:val="002224F7"/>
    <w:rsid w:val="00222839"/>
    <w:rsid w:val="00224BE8"/>
    <w:rsid w:val="002253B3"/>
    <w:rsid w:val="00225515"/>
    <w:rsid w:val="00225AF8"/>
    <w:rsid w:val="00225BCE"/>
    <w:rsid w:val="00226E5D"/>
    <w:rsid w:val="00231039"/>
    <w:rsid w:val="00231099"/>
    <w:rsid w:val="00232C3D"/>
    <w:rsid w:val="00232D6B"/>
    <w:rsid w:val="0023310E"/>
    <w:rsid w:val="00233796"/>
    <w:rsid w:val="00233B7D"/>
    <w:rsid w:val="00234FF4"/>
    <w:rsid w:val="00236621"/>
    <w:rsid w:val="0023680F"/>
    <w:rsid w:val="00237332"/>
    <w:rsid w:val="00240213"/>
    <w:rsid w:val="00241FE5"/>
    <w:rsid w:val="002421D2"/>
    <w:rsid w:val="00242A38"/>
    <w:rsid w:val="00243F73"/>
    <w:rsid w:val="002452FF"/>
    <w:rsid w:val="002455FE"/>
    <w:rsid w:val="00247257"/>
    <w:rsid w:val="00247F04"/>
    <w:rsid w:val="0025076B"/>
    <w:rsid w:val="00250822"/>
    <w:rsid w:val="00250C0D"/>
    <w:rsid w:val="00250D54"/>
    <w:rsid w:val="0025134B"/>
    <w:rsid w:val="002513B9"/>
    <w:rsid w:val="00251F17"/>
    <w:rsid w:val="00251F5D"/>
    <w:rsid w:val="00254917"/>
    <w:rsid w:val="002552B6"/>
    <w:rsid w:val="0025536C"/>
    <w:rsid w:val="00260318"/>
    <w:rsid w:val="002612D5"/>
    <w:rsid w:val="0026159C"/>
    <w:rsid w:val="002628A3"/>
    <w:rsid w:val="00263C1F"/>
    <w:rsid w:val="00264062"/>
    <w:rsid w:val="00264F32"/>
    <w:rsid w:val="002655F9"/>
    <w:rsid w:val="00266EB2"/>
    <w:rsid w:val="00270CA0"/>
    <w:rsid w:val="00271418"/>
    <w:rsid w:val="002735C4"/>
    <w:rsid w:val="00274447"/>
    <w:rsid w:val="00274E9A"/>
    <w:rsid w:val="00275CB7"/>
    <w:rsid w:val="00276C74"/>
    <w:rsid w:val="00277105"/>
    <w:rsid w:val="00280511"/>
    <w:rsid w:val="0028094C"/>
    <w:rsid w:val="00280C73"/>
    <w:rsid w:val="00281A59"/>
    <w:rsid w:val="00282508"/>
    <w:rsid w:val="00282884"/>
    <w:rsid w:val="0028329E"/>
    <w:rsid w:val="0028491E"/>
    <w:rsid w:val="00286E31"/>
    <w:rsid w:val="0028753E"/>
    <w:rsid w:val="002875E8"/>
    <w:rsid w:val="00287F55"/>
    <w:rsid w:val="00287F99"/>
    <w:rsid w:val="00292783"/>
    <w:rsid w:val="0029384D"/>
    <w:rsid w:val="00293C04"/>
    <w:rsid w:val="00297324"/>
    <w:rsid w:val="002977C0"/>
    <w:rsid w:val="00297986"/>
    <w:rsid w:val="002A044B"/>
    <w:rsid w:val="002A051A"/>
    <w:rsid w:val="002A09E9"/>
    <w:rsid w:val="002A1AA0"/>
    <w:rsid w:val="002A3708"/>
    <w:rsid w:val="002A3814"/>
    <w:rsid w:val="002A5A4E"/>
    <w:rsid w:val="002A5B9F"/>
    <w:rsid w:val="002A5FBE"/>
    <w:rsid w:val="002A62A3"/>
    <w:rsid w:val="002A6EB1"/>
    <w:rsid w:val="002A7494"/>
    <w:rsid w:val="002A7BCB"/>
    <w:rsid w:val="002B022D"/>
    <w:rsid w:val="002B0564"/>
    <w:rsid w:val="002B20E3"/>
    <w:rsid w:val="002B24FE"/>
    <w:rsid w:val="002B2EF4"/>
    <w:rsid w:val="002B40FF"/>
    <w:rsid w:val="002B4715"/>
    <w:rsid w:val="002B4AB4"/>
    <w:rsid w:val="002B4AC9"/>
    <w:rsid w:val="002B4CA3"/>
    <w:rsid w:val="002B4EDB"/>
    <w:rsid w:val="002B520C"/>
    <w:rsid w:val="002B570F"/>
    <w:rsid w:val="002B578B"/>
    <w:rsid w:val="002B696C"/>
    <w:rsid w:val="002B70B3"/>
    <w:rsid w:val="002B7456"/>
    <w:rsid w:val="002C07F7"/>
    <w:rsid w:val="002C1ADA"/>
    <w:rsid w:val="002C28FD"/>
    <w:rsid w:val="002C44D8"/>
    <w:rsid w:val="002C6A0F"/>
    <w:rsid w:val="002D08DD"/>
    <w:rsid w:val="002D21E0"/>
    <w:rsid w:val="002D2866"/>
    <w:rsid w:val="002D3503"/>
    <w:rsid w:val="002D3A52"/>
    <w:rsid w:val="002D4A8E"/>
    <w:rsid w:val="002D5400"/>
    <w:rsid w:val="002D58D8"/>
    <w:rsid w:val="002D645C"/>
    <w:rsid w:val="002D7CC4"/>
    <w:rsid w:val="002E223A"/>
    <w:rsid w:val="002E272D"/>
    <w:rsid w:val="002E28FF"/>
    <w:rsid w:val="002E2ECC"/>
    <w:rsid w:val="002E3935"/>
    <w:rsid w:val="002E3DFC"/>
    <w:rsid w:val="002E468F"/>
    <w:rsid w:val="002E4F7C"/>
    <w:rsid w:val="002E5309"/>
    <w:rsid w:val="002E6C95"/>
    <w:rsid w:val="002E7656"/>
    <w:rsid w:val="002E76E8"/>
    <w:rsid w:val="002E7CFE"/>
    <w:rsid w:val="002F142E"/>
    <w:rsid w:val="002F1E7C"/>
    <w:rsid w:val="002F2415"/>
    <w:rsid w:val="002F2CDB"/>
    <w:rsid w:val="002F34F9"/>
    <w:rsid w:val="002F486F"/>
    <w:rsid w:val="002F66FD"/>
    <w:rsid w:val="002F6D6A"/>
    <w:rsid w:val="002F7F68"/>
    <w:rsid w:val="00301D0D"/>
    <w:rsid w:val="0030300D"/>
    <w:rsid w:val="003033D6"/>
    <w:rsid w:val="00304682"/>
    <w:rsid w:val="003051A3"/>
    <w:rsid w:val="003053E3"/>
    <w:rsid w:val="0030599C"/>
    <w:rsid w:val="0030694D"/>
    <w:rsid w:val="00306C9D"/>
    <w:rsid w:val="00306D93"/>
    <w:rsid w:val="00310120"/>
    <w:rsid w:val="0031112F"/>
    <w:rsid w:val="00311212"/>
    <w:rsid w:val="00311C00"/>
    <w:rsid w:val="00312B83"/>
    <w:rsid w:val="003134C1"/>
    <w:rsid w:val="0031371D"/>
    <w:rsid w:val="0031374D"/>
    <w:rsid w:val="0031378F"/>
    <w:rsid w:val="003145AC"/>
    <w:rsid w:val="0031572C"/>
    <w:rsid w:val="00315AFE"/>
    <w:rsid w:val="003162F0"/>
    <w:rsid w:val="0031676E"/>
    <w:rsid w:val="00316B13"/>
    <w:rsid w:val="00317177"/>
    <w:rsid w:val="003173E8"/>
    <w:rsid w:val="00317F07"/>
    <w:rsid w:val="00320E50"/>
    <w:rsid w:val="003212D3"/>
    <w:rsid w:val="00321C42"/>
    <w:rsid w:val="00322624"/>
    <w:rsid w:val="00326930"/>
    <w:rsid w:val="0032704F"/>
    <w:rsid w:val="00330681"/>
    <w:rsid w:val="0033103E"/>
    <w:rsid w:val="00331E3D"/>
    <w:rsid w:val="0033498B"/>
    <w:rsid w:val="00335C83"/>
    <w:rsid w:val="00336550"/>
    <w:rsid w:val="00340432"/>
    <w:rsid w:val="00340FF3"/>
    <w:rsid w:val="003411CA"/>
    <w:rsid w:val="003420B4"/>
    <w:rsid w:val="00342DDE"/>
    <w:rsid w:val="003434D5"/>
    <w:rsid w:val="00343CDF"/>
    <w:rsid w:val="003446D5"/>
    <w:rsid w:val="00345FCD"/>
    <w:rsid w:val="003460BF"/>
    <w:rsid w:val="0034641C"/>
    <w:rsid w:val="003465A4"/>
    <w:rsid w:val="00347B15"/>
    <w:rsid w:val="003518F8"/>
    <w:rsid w:val="00352020"/>
    <w:rsid w:val="003521EB"/>
    <w:rsid w:val="003536E9"/>
    <w:rsid w:val="00353A0F"/>
    <w:rsid w:val="00353B6A"/>
    <w:rsid w:val="00354379"/>
    <w:rsid w:val="00354453"/>
    <w:rsid w:val="00354492"/>
    <w:rsid w:val="00354E1D"/>
    <w:rsid w:val="00355475"/>
    <w:rsid w:val="003557F4"/>
    <w:rsid w:val="003558F8"/>
    <w:rsid w:val="00356741"/>
    <w:rsid w:val="00356C39"/>
    <w:rsid w:val="00356E65"/>
    <w:rsid w:val="00360C59"/>
    <w:rsid w:val="003622B6"/>
    <w:rsid w:val="00362DBE"/>
    <w:rsid w:val="00363EE1"/>
    <w:rsid w:val="00364E23"/>
    <w:rsid w:val="003653A1"/>
    <w:rsid w:val="0036567E"/>
    <w:rsid w:val="0036608D"/>
    <w:rsid w:val="003666BC"/>
    <w:rsid w:val="003671C4"/>
    <w:rsid w:val="003676E2"/>
    <w:rsid w:val="00367B8B"/>
    <w:rsid w:val="00367D2D"/>
    <w:rsid w:val="003702B2"/>
    <w:rsid w:val="0037070E"/>
    <w:rsid w:val="00370FA9"/>
    <w:rsid w:val="00371EC3"/>
    <w:rsid w:val="00372084"/>
    <w:rsid w:val="00372648"/>
    <w:rsid w:val="003757F9"/>
    <w:rsid w:val="00377AE4"/>
    <w:rsid w:val="00377B52"/>
    <w:rsid w:val="00377CAA"/>
    <w:rsid w:val="003800DE"/>
    <w:rsid w:val="003803ED"/>
    <w:rsid w:val="003804BF"/>
    <w:rsid w:val="00380970"/>
    <w:rsid w:val="00380CBE"/>
    <w:rsid w:val="0038182F"/>
    <w:rsid w:val="00381AB0"/>
    <w:rsid w:val="0038259D"/>
    <w:rsid w:val="00382758"/>
    <w:rsid w:val="00384499"/>
    <w:rsid w:val="00384F46"/>
    <w:rsid w:val="0038647C"/>
    <w:rsid w:val="00387078"/>
    <w:rsid w:val="003873B6"/>
    <w:rsid w:val="00390996"/>
    <w:rsid w:val="00390DB5"/>
    <w:rsid w:val="00390EC1"/>
    <w:rsid w:val="00391135"/>
    <w:rsid w:val="00391506"/>
    <w:rsid w:val="003925D9"/>
    <w:rsid w:val="003929B5"/>
    <w:rsid w:val="00393088"/>
    <w:rsid w:val="0039675D"/>
    <w:rsid w:val="003973B1"/>
    <w:rsid w:val="003976D9"/>
    <w:rsid w:val="00397A79"/>
    <w:rsid w:val="003A0396"/>
    <w:rsid w:val="003A13E7"/>
    <w:rsid w:val="003A1E6B"/>
    <w:rsid w:val="003A22D9"/>
    <w:rsid w:val="003A23DB"/>
    <w:rsid w:val="003A3672"/>
    <w:rsid w:val="003A3950"/>
    <w:rsid w:val="003A53AF"/>
    <w:rsid w:val="003A5875"/>
    <w:rsid w:val="003A6624"/>
    <w:rsid w:val="003A7CFE"/>
    <w:rsid w:val="003B0CD1"/>
    <w:rsid w:val="003B0E9B"/>
    <w:rsid w:val="003B14F4"/>
    <w:rsid w:val="003B1CCC"/>
    <w:rsid w:val="003B2EE2"/>
    <w:rsid w:val="003B36C6"/>
    <w:rsid w:val="003B3BDB"/>
    <w:rsid w:val="003B487B"/>
    <w:rsid w:val="003B63A7"/>
    <w:rsid w:val="003C0D4D"/>
    <w:rsid w:val="003C0E23"/>
    <w:rsid w:val="003C201D"/>
    <w:rsid w:val="003C221C"/>
    <w:rsid w:val="003C4CE8"/>
    <w:rsid w:val="003C5124"/>
    <w:rsid w:val="003C6045"/>
    <w:rsid w:val="003C7978"/>
    <w:rsid w:val="003D0048"/>
    <w:rsid w:val="003D1718"/>
    <w:rsid w:val="003D205A"/>
    <w:rsid w:val="003D36F8"/>
    <w:rsid w:val="003D4A90"/>
    <w:rsid w:val="003D5336"/>
    <w:rsid w:val="003D5621"/>
    <w:rsid w:val="003D660D"/>
    <w:rsid w:val="003D7674"/>
    <w:rsid w:val="003E031E"/>
    <w:rsid w:val="003E6D72"/>
    <w:rsid w:val="003E73E6"/>
    <w:rsid w:val="003E7D68"/>
    <w:rsid w:val="003F0A9B"/>
    <w:rsid w:val="003F1DF0"/>
    <w:rsid w:val="003F1FD5"/>
    <w:rsid w:val="003F1FE0"/>
    <w:rsid w:val="003F27D6"/>
    <w:rsid w:val="003F391C"/>
    <w:rsid w:val="003F4A92"/>
    <w:rsid w:val="003F606D"/>
    <w:rsid w:val="003F68BF"/>
    <w:rsid w:val="003F6E60"/>
    <w:rsid w:val="003F7A18"/>
    <w:rsid w:val="003F7D97"/>
    <w:rsid w:val="0040003D"/>
    <w:rsid w:val="00401A9C"/>
    <w:rsid w:val="00402684"/>
    <w:rsid w:val="0040295E"/>
    <w:rsid w:val="00402AB2"/>
    <w:rsid w:val="00403A8B"/>
    <w:rsid w:val="0040564F"/>
    <w:rsid w:val="004069FA"/>
    <w:rsid w:val="004075DB"/>
    <w:rsid w:val="004079DA"/>
    <w:rsid w:val="00411B40"/>
    <w:rsid w:val="00411C86"/>
    <w:rsid w:val="004169C3"/>
    <w:rsid w:val="00416A7B"/>
    <w:rsid w:val="004171AA"/>
    <w:rsid w:val="00417976"/>
    <w:rsid w:val="00420319"/>
    <w:rsid w:val="00420C97"/>
    <w:rsid w:val="00420D96"/>
    <w:rsid w:val="004230DF"/>
    <w:rsid w:val="004235DC"/>
    <w:rsid w:val="00423D32"/>
    <w:rsid w:val="00424556"/>
    <w:rsid w:val="00424C16"/>
    <w:rsid w:val="00425C38"/>
    <w:rsid w:val="0042684B"/>
    <w:rsid w:val="00426F00"/>
    <w:rsid w:val="00427530"/>
    <w:rsid w:val="004307EF"/>
    <w:rsid w:val="00430B36"/>
    <w:rsid w:val="00430D66"/>
    <w:rsid w:val="00435355"/>
    <w:rsid w:val="00435CBD"/>
    <w:rsid w:val="00435FE3"/>
    <w:rsid w:val="004369F7"/>
    <w:rsid w:val="0044013D"/>
    <w:rsid w:val="00440E4A"/>
    <w:rsid w:val="004413A6"/>
    <w:rsid w:val="00441C4E"/>
    <w:rsid w:val="00441FDC"/>
    <w:rsid w:val="00442D4C"/>
    <w:rsid w:val="00444672"/>
    <w:rsid w:val="00444A34"/>
    <w:rsid w:val="00445C5D"/>
    <w:rsid w:val="00446F8F"/>
    <w:rsid w:val="00450046"/>
    <w:rsid w:val="004501AF"/>
    <w:rsid w:val="0045046A"/>
    <w:rsid w:val="00451533"/>
    <w:rsid w:val="00452836"/>
    <w:rsid w:val="00452B65"/>
    <w:rsid w:val="0045309E"/>
    <w:rsid w:val="004538A1"/>
    <w:rsid w:val="00453E9B"/>
    <w:rsid w:val="00454D9F"/>
    <w:rsid w:val="00455BA4"/>
    <w:rsid w:val="0045663D"/>
    <w:rsid w:val="00456AB4"/>
    <w:rsid w:val="00456EE6"/>
    <w:rsid w:val="004574AE"/>
    <w:rsid w:val="0046043A"/>
    <w:rsid w:val="00461117"/>
    <w:rsid w:val="0046149A"/>
    <w:rsid w:val="00463276"/>
    <w:rsid w:val="00463BF1"/>
    <w:rsid w:val="00463C12"/>
    <w:rsid w:val="00464BD4"/>
    <w:rsid w:val="00465CC8"/>
    <w:rsid w:val="00466040"/>
    <w:rsid w:val="00466B73"/>
    <w:rsid w:val="0046752E"/>
    <w:rsid w:val="00467F1B"/>
    <w:rsid w:val="00470093"/>
    <w:rsid w:val="00470777"/>
    <w:rsid w:val="0047220A"/>
    <w:rsid w:val="00472950"/>
    <w:rsid w:val="00472BDE"/>
    <w:rsid w:val="004737CB"/>
    <w:rsid w:val="004755B5"/>
    <w:rsid w:val="0047564E"/>
    <w:rsid w:val="00475ECA"/>
    <w:rsid w:val="00475EEC"/>
    <w:rsid w:val="00475F1F"/>
    <w:rsid w:val="00476572"/>
    <w:rsid w:val="00477A44"/>
    <w:rsid w:val="00477B95"/>
    <w:rsid w:val="00480EAD"/>
    <w:rsid w:val="00482EE8"/>
    <w:rsid w:val="004840E6"/>
    <w:rsid w:val="004844B6"/>
    <w:rsid w:val="00484EF1"/>
    <w:rsid w:val="0048538E"/>
    <w:rsid w:val="00485A2A"/>
    <w:rsid w:val="00485DF1"/>
    <w:rsid w:val="0048694D"/>
    <w:rsid w:val="004869D0"/>
    <w:rsid w:val="00487276"/>
    <w:rsid w:val="00487A5B"/>
    <w:rsid w:val="00490245"/>
    <w:rsid w:val="00490B3B"/>
    <w:rsid w:val="00490DC9"/>
    <w:rsid w:val="00491891"/>
    <w:rsid w:val="00491C2B"/>
    <w:rsid w:val="0049278E"/>
    <w:rsid w:val="00492ABD"/>
    <w:rsid w:val="0049372D"/>
    <w:rsid w:val="004938A0"/>
    <w:rsid w:val="00494ECD"/>
    <w:rsid w:val="004955A0"/>
    <w:rsid w:val="00495911"/>
    <w:rsid w:val="004960DA"/>
    <w:rsid w:val="00496A42"/>
    <w:rsid w:val="00497D50"/>
    <w:rsid w:val="004A1706"/>
    <w:rsid w:val="004A1AA5"/>
    <w:rsid w:val="004A266F"/>
    <w:rsid w:val="004A26F0"/>
    <w:rsid w:val="004A2A21"/>
    <w:rsid w:val="004A2E0F"/>
    <w:rsid w:val="004A2E4F"/>
    <w:rsid w:val="004A411C"/>
    <w:rsid w:val="004A42D7"/>
    <w:rsid w:val="004A489C"/>
    <w:rsid w:val="004A49FC"/>
    <w:rsid w:val="004A4D21"/>
    <w:rsid w:val="004A54BD"/>
    <w:rsid w:val="004A57D3"/>
    <w:rsid w:val="004A66FD"/>
    <w:rsid w:val="004A7B38"/>
    <w:rsid w:val="004A7C22"/>
    <w:rsid w:val="004B0055"/>
    <w:rsid w:val="004B1072"/>
    <w:rsid w:val="004B18BE"/>
    <w:rsid w:val="004B1DE4"/>
    <w:rsid w:val="004B2829"/>
    <w:rsid w:val="004B31D0"/>
    <w:rsid w:val="004B392F"/>
    <w:rsid w:val="004B3F0A"/>
    <w:rsid w:val="004B5550"/>
    <w:rsid w:val="004B55B0"/>
    <w:rsid w:val="004B5749"/>
    <w:rsid w:val="004B5D58"/>
    <w:rsid w:val="004B7901"/>
    <w:rsid w:val="004C1088"/>
    <w:rsid w:val="004C144B"/>
    <w:rsid w:val="004C16C6"/>
    <w:rsid w:val="004C1E7B"/>
    <w:rsid w:val="004C2A53"/>
    <w:rsid w:val="004C30D8"/>
    <w:rsid w:val="004C4873"/>
    <w:rsid w:val="004C49D0"/>
    <w:rsid w:val="004C4E30"/>
    <w:rsid w:val="004C4F36"/>
    <w:rsid w:val="004C5142"/>
    <w:rsid w:val="004C515F"/>
    <w:rsid w:val="004C5BDF"/>
    <w:rsid w:val="004C76E2"/>
    <w:rsid w:val="004C7E0F"/>
    <w:rsid w:val="004C7EB2"/>
    <w:rsid w:val="004D03C9"/>
    <w:rsid w:val="004D1E17"/>
    <w:rsid w:val="004D20DA"/>
    <w:rsid w:val="004D2482"/>
    <w:rsid w:val="004D2C0C"/>
    <w:rsid w:val="004D2D04"/>
    <w:rsid w:val="004D4B5E"/>
    <w:rsid w:val="004D596C"/>
    <w:rsid w:val="004D638B"/>
    <w:rsid w:val="004D7D3C"/>
    <w:rsid w:val="004D7DE3"/>
    <w:rsid w:val="004E130C"/>
    <w:rsid w:val="004E1563"/>
    <w:rsid w:val="004E1953"/>
    <w:rsid w:val="004E27A6"/>
    <w:rsid w:val="004E3B85"/>
    <w:rsid w:val="004E4813"/>
    <w:rsid w:val="004E5C4E"/>
    <w:rsid w:val="004E77F2"/>
    <w:rsid w:val="004F0B93"/>
    <w:rsid w:val="004F1105"/>
    <w:rsid w:val="004F1E5C"/>
    <w:rsid w:val="004F29CE"/>
    <w:rsid w:val="004F33DD"/>
    <w:rsid w:val="004F373E"/>
    <w:rsid w:val="004F474F"/>
    <w:rsid w:val="004F525C"/>
    <w:rsid w:val="004F528A"/>
    <w:rsid w:val="005010F3"/>
    <w:rsid w:val="00501411"/>
    <w:rsid w:val="00502566"/>
    <w:rsid w:val="00502A15"/>
    <w:rsid w:val="0050358C"/>
    <w:rsid w:val="00504920"/>
    <w:rsid w:val="00505476"/>
    <w:rsid w:val="00505866"/>
    <w:rsid w:val="005060A3"/>
    <w:rsid w:val="0051178F"/>
    <w:rsid w:val="00511A19"/>
    <w:rsid w:val="005125E9"/>
    <w:rsid w:val="00512CE8"/>
    <w:rsid w:val="005132FE"/>
    <w:rsid w:val="00513907"/>
    <w:rsid w:val="0051489A"/>
    <w:rsid w:val="00514E90"/>
    <w:rsid w:val="00516E45"/>
    <w:rsid w:val="00516E52"/>
    <w:rsid w:val="005179CC"/>
    <w:rsid w:val="00517F3A"/>
    <w:rsid w:val="00520E4B"/>
    <w:rsid w:val="00521B60"/>
    <w:rsid w:val="00521DB2"/>
    <w:rsid w:val="0052223A"/>
    <w:rsid w:val="005228F8"/>
    <w:rsid w:val="00522B7D"/>
    <w:rsid w:val="00523024"/>
    <w:rsid w:val="00523B22"/>
    <w:rsid w:val="00524666"/>
    <w:rsid w:val="0052481D"/>
    <w:rsid w:val="00525D5D"/>
    <w:rsid w:val="0052757F"/>
    <w:rsid w:val="00527686"/>
    <w:rsid w:val="00527E82"/>
    <w:rsid w:val="005300E4"/>
    <w:rsid w:val="00530DDE"/>
    <w:rsid w:val="005316CE"/>
    <w:rsid w:val="00532592"/>
    <w:rsid w:val="00533268"/>
    <w:rsid w:val="00533EA4"/>
    <w:rsid w:val="005346C7"/>
    <w:rsid w:val="005350A1"/>
    <w:rsid w:val="00535625"/>
    <w:rsid w:val="0053654B"/>
    <w:rsid w:val="00542D51"/>
    <w:rsid w:val="00543995"/>
    <w:rsid w:val="00545D7B"/>
    <w:rsid w:val="005471A0"/>
    <w:rsid w:val="005477FC"/>
    <w:rsid w:val="00547905"/>
    <w:rsid w:val="00550961"/>
    <w:rsid w:val="00550F8C"/>
    <w:rsid w:val="0055265F"/>
    <w:rsid w:val="00552ED4"/>
    <w:rsid w:val="00553620"/>
    <w:rsid w:val="005536EB"/>
    <w:rsid w:val="00553E7B"/>
    <w:rsid w:val="005549A6"/>
    <w:rsid w:val="00555168"/>
    <w:rsid w:val="00555B89"/>
    <w:rsid w:val="00556069"/>
    <w:rsid w:val="00557089"/>
    <w:rsid w:val="0055741F"/>
    <w:rsid w:val="00561A95"/>
    <w:rsid w:val="00561AD2"/>
    <w:rsid w:val="00563A69"/>
    <w:rsid w:val="00563CC5"/>
    <w:rsid w:val="00563F68"/>
    <w:rsid w:val="005646AA"/>
    <w:rsid w:val="00564C55"/>
    <w:rsid w:val="00564C76"/>
    <w:rsid w:val="005665AE"/>
    <w:rsid w:val="00566813"/>
    <w:rsid w:val="005668E3"/>
    <w:rsid w:val="00570811"/>
    <w:rsid w:val="00570C64"/>
    <w:rsid w:val="005713C5"/>
    <w:rsid w:val="00571A8B"/>
    <w:rsid w:val="00572A9A"/>
    <w:rsid w:val="0057355A"/>
    <w:rsid w:val="00573599"/>
    <w:rsid w:val="00573667"/>
    <w:rsid w:val="0057530C"/>
    <w:rsid w:val="00575E19"/>
    <w:rsid w:val="005762FF"/>
    <w:rsid w:val="005765F8"/>
    <w:rsid w:val="00577C12"/>
    <w:rsid w:val="00577DB4"/>
    <w:rsid w:val="00582000"/>
    <w:rsid w:val="0058289F"/>
    <w:rsid w:val="005833D6"/>
    <w:rsid w:val="00583ACB"/>
    <w:rsid w:val="00583C4B"/>
    <w:rsid w:val="00585067"/>
    <w:rsid w:val="0058548B"/>
    <w:rsid w:val="00585681"/>
    <w:rsid w:val="00585E1C"/>
    <w:rsid w:val="005865A0"/>
    <w:rsid w:val="00586D81"/>
    <w:rsid w:val="005873F5"/>
    <w:rsid w:val="0059026D"/>
    <w:rsid w:val="00590F2E"/>
    <w:rsid w:val="00591AA3"/>
    <w:rsid w:val="005927B1"/>
    <w:rsid w:val="005929A6"/>
    <w:rsid w:val="00594D91"/>
    <w:rsid w:val="005957DD"/>
    <w:rsid w:val="005A0C88"/>
    <w:rsid w:val="005A0F47"/>
    <w:rsid w:val="005A1EEA"/>
    <w:rsid w:val="005A3034"/>
    <w:rsid w:val="005A30E3"/>
    <w:rsid w:val="005A4287"/>
    <w:rsid w:val="005A5E81"/>
    <w:rsid w:val="005A6908"/>
    <w:rsid w:val="005A6FFA"/>
    <w:rsid w:val="005A7C3A"/>
    <w:rsid w:val="005B0A3F"/>
    <w:rsid w:val="005B15D2"/>
    <w:rsid w:val="005B1B38"/>
    <w:rsid w:val="005B2A88"/>
    <w:rsid w:val="005B3067"/>
    <w:rsid w:val="005B3985"/>
    <w:rsid w:val="005B48BA"/>
    <w:rsid w:val="005B66CA"/>
    <w:rsid w:val="005B6C4B"/>
    <w:rsid w:val="005B78A4"/>
    <w:rsid w:val="005B7A42"/>
    <w:rsid w:val="005B7EA6"/>
    <w:rsid w:val="005C0FB3"/>
    <w:rsid w:val="005C1097"/>
    <w:rsid w:val="005C29D0"/>
    <w:rsid w:val="005C45E6"/>
    <w:rsid w:val="005C475C"/>
    <w:rsid w:val="005C4E31"/>
    <w:rsid w:val="005C5407"/>
    <w:rsid w:val="005C77F1"/>
    <w:rsid w:val="005C783B"/>
    <w:rsid w:val="005D0C5F"/>
    <w:rsid w:val="005D0D15"/>
    <w:rsid w:val="005D131C"/>
    <w:rsid w:val="005D239E"/>
    <w:rsid w:val="005D30D3"/>
    <w:rsid w:val="005D3CC8"/>
    <w:rsid w:val="005D515A"/>
    <w:rsid w:val="005D5228"/>
    <w:rsid w:val="005D5CC8"/>
    <w:rsid w:val="005D68F7"/>
    <w:rsid w:val="005D6B8C"/>
    <w:rsid w:val="005D6FF4"/>
    <w:rsid w:val="005D7EFE"/>
    <w:rsid w:val="005E0E62"/>
    <w:rsid w:val="005E2E8E"/>
    <w:rsid w:val="005E3AFD"/>
    <w:rsid w:val="005E3BD5"/>
    <w:rsid w:val="005E3C4C"/>
    <w:rsid w:val="005E3FC4"/>
    <w:rsid w:val="005E4813"/>
    <w:rsid w:val="005E4A55"/>
    <w:rsid w:val="005E5616"/>
    <w:rsid w:val="005E6E13"/>
    <w:rsid w:val="005E7752"/>
    <w:rsid w:val="005E7B56"/>
    <w:rsid w:val="005F148D"/>
    <w:rsid w:val="005F1D60"/>
    <w:rsid w:val="005F2171"/>
    <w:rsid w:val="005F250E"/>
    <w:rsid w:val="005F29B2"/>
    <w:rsid w:val="005F4FFD"/>
    <w:rsid w:val="005F5FFA"/>
    <w:rsid w:val="005F6B1E"/>
    <w:rsid w:val="005F7196"/>
    <w:rsid w:val="005F72EE"/>
    <w:rsid w:val="005F7F75"/>
    <w:rsid w:val="006025FA"/>
    <w:rsid w:val="006026AA"/>
    <w:rsid w:val="00602A82"/>
    <w:rsid w:val="00603E83"/>
    <w:rsid w:val="00604D20"/>
    <w:rsid w:val="00606796"/>
    <w:rsid w:val="006073AA"/>
    <w:rsid w:val="00607747"/>
    <w:rsid w:val="00607B06"/>
    <w:rsid w:val="00607EB7"/>
    <w:rsid w:val="00610017"/>
    <w:rsid w:val="006103C7"/>
    <w:rsid w:val="006104B6"/>
    <w:rsid w:val="00612001"/>
    <w:rsid w:val="006124BA"/>
    <w:rsid w:val="00612EB4"/>
    <w:rsid w:val="006131D3"/>
    <w:rsid w:val="00613994"/>
    <w:rsid w:val="0061590D"/>
    <w:rsid w:val="00615CC0"/>
    <w:rsid w:val="00616B88"/>
    <w:rsid w:val="0061732D"/>
    <w:rsid w:val="00617438"/>
    <w:rsid w:val="006179C7"/>
    <w:rsid w:val="00617ADA"/>
    <w:rsid w:val="00617C43"/>
    <w:rsid w:val="00617EAA"/>
    <w:rsid w:val="0062145B"/>
    <w:rsid w:val="0062241A"/>
    <w:rsid w:val="00622AF7"/>
    <w:rsid w:val="00622E1D"/>
    <w:rsid w:val="0062332E"/>
    <w:rsid w:val="00623E81"/>
    <w:rsid w:val="00623EF2"/>
    <w:rsid w:val="00625377"/>
    <w:rsid w:val="00625A0E"/>
    <w:rsid w:val="00626672"/>
    <w:rsid w:val="00626FBF"/>
    <w:rsid w:val="0062717E"/>
    <w:rsid w:val="00630C61"/>
    <w:rsid w:val="006311D6"/>
    <w:rsid w:val="00631BA3"/>
    <w:rsid w:val="006329C9"/>
    <w:rsid w:val="00633693"/>
    <w:rsid w:val="00633E6A"/>
    <w:rsid w:val="006347A7"/>
    <w:rsid w:val="006349E3"/>
    <w:rsid w:val="00634B4B"/>
    <w:rsid w:val="00634C1E"/>
    <w:rsid w:val="00636249"/>
    <w:rsid w:val="00636E5F"/>
    <w:rsid w:val="00637778"/>
    <w:rsid w:val="00642B67"/>
    <w:rsid w:val="00643CB3"/>
    <w:rsid w:val="00644040"/>
    <w:rsid w:val="006441E3"/>
    <w:rsid w:val="00645F13"/>
    <w:rsid w:val="00650B41"/>
    <w:rsid w:val="00653F20"/>
    <w:rsid w:val="00654149"/>
    <w:rsid w:val="00654E77"/>
    <w:rsid w:val="00655E61"/>
    <w:rsid w:val="00656C2E"/>
    <w:rsid w:val="0065728B"/>
    <w:rsid w:val="00657361"/>
    <w:rsid w:val="006578F0"/>
    <w:rsid w:val="006606E8"/>
    <w:rsid w:val="00660EEF"/>
    <w:rsid w:val="00662ECA"/>
    <w:rsid w:val="00663254"/>
    <w:rsid w:val="006635D6"/>
    <w:rsid w:val="00664098"/>
    <w:rsid w:val="0066416B"/>
    <w:rsid w:val="006642C5"/>
    <w:rsid w:val="006652E4"/>
    <w:rsid w:val="00665395"/>
    <w:rsid w:val="006655DE"/>
    <w:rsid w:val="00665610"/>
    <w:rsid w:val="00665898"/>
    <w:rsid w:val="00670A85"/>
    <w:rsid w:val="0067215E"/>
    <w:rsid w:val="00672B57"/>
    <w:rsid w:val="00672CF9"/>
    <w:rsid w:val="00673385"/>
    <w:rsid w:val="006752B4"/>
    <w:rsid w:val="0067641D"/>
    <w:rsid w:val="006766D1"/>
    <w:rsid w:val="00676D26"/>
    <w:rsid w:val="00677EDC"/>
    <w:rsid w:val="00680CF6"/>
    <w:rsid w:val="00681122"/>
    <w:rsid w:val="00681689"/>
    <w:rsid w:val="00681B3F"/>
    <w:rsid w:val="00682043"/>
    <w:rsid w:val="006825CD"/>
    <w:rsid w:val="00682791"/>
    <w:rsid w:val="0068486D"/>
    <w:rsid w:val="00684BC3"/>
    <w:rsid w:val="00684C3A"/>
    <w:rsid w:val="006860A8"/>
    <w:rsid w:val="00686683"/>
    <w:rsid w:val="00687106"/>
    <w:rsid w:val="006872CB"/>
    <w:rsid w:val="0069196F"/>
    <w:rsid w:val="006930EE"/>
    <w:rsid w:val="00693DBF"/>
    <w:rsid w:val="0069422E"/>
    <w:rsid w:val="0069434E"/>
    <w:rsid w:val="006951ED"/>
    <w:rsid w:val="006953DA"/>
    <w:rsid w:val="00695697"/>
    <w:rsid w:val="00695FEA"/>
    <w:rsid w:val="006961A6"/>
    <w:rsid w:val="006967E2"/>
    <w:rsid w:val="00696E8D"/>
    <w:rsid w:val="00697D26"/>
    <w:rsid w:val="006A0089"/>
    <w:rsid w:val="006A0B3C"/>
    <w:rsid w:val="006A1449"/>
    <w:rsid w:val="006A181B"/>
    <w:rsid w:val="006A3C0C"/>
    <w:rsid w:val="006A47D4"/>
    <w:rsid w:val="006A7BD3"/>
    <w:rsid w:val="006A7C72"/>
    <w:rsid w:val="006B00C6"/>
    <w:rsid w:val="006B0398"/>
    <w:rsid w:val="006B12B5"/>
    <w:rsid w:val="006B19F2"/>
    <w:rsid w:val="006B1A85"/>
    <w:rsid w:val="006B2572"/>
    <w:rsid w:val="006B2678"/>
    <w:rsid w:val="006B27AB"/>
    <w:rsid w:val="006B2DB1"/>
    <w:rsid w:val="006B32C9"/>
    <w:rsid w:val="006B45D9"/>
    <w:rsid w:val="006B595C"/>
    <w:rsid w:val="006B649E"/>
    <w:rsid w:val="006B6CE8"/>
    <w:rsid w:val="006C04A1"/>
    <w:rsid w:val="006C09CC"/>
    <w:rsid w:val="006C1AD8"/>
    <w:rsid w:val="006C288C"/>
    <w:rsid w:val="006C3048"/>
    <w:rsid w:val="006C358D"/>
    <w:rsid w:val="006C3E92"/>
    <w:rsid w:val="006C5E78"/>
    <w:rsid w:val="006C6B4B"/>
    <w:rsid w:val="006C758C"/>
    <w:rsid w:val="006C7735"/>
    <w:rsid w:val="006D3795"/>
    <w:rsid w:val="006D4B62"/>
    <w:rsid w:val="006D5F06"/>
    <w:rsid w:val="006D64D6"/>
    <w:rsid w:val="006D64EF"/>
    <w:rsid w:val="006D689B"/>
    <w:rsid w:val="006D7677"/>
    <w:rsid w:val="006D7E71"/>
    <w:rsid w:val="006E1462"/>
    <w:rsid w:val="006E193E"/>
    <w:rsid w:val="006E2FFE"/>
    <w:rsid w:val="006E3A99"/>
    <w:rsid w:val="006E3E42"/>
    <w:rsid w:val="006E52B9"/>
    <w:rsid w:val="006E5BD9"/>
    <w:rsid w:val="006E6938"/>
    <w:rsid w:val="006E7B70"/>
    <w:rsid w:val="006E7C8E"/>
    <w:rsid w:val="006E7E15"/>
    <w:rsid w:val="006F0654"/>
    <w:rsid w:val="006F1187"/>
    <w:rsid w:val="006F1218"/>
    <w:rsid w:val="006F1A88"/>
    <w:rsid w:val="006F2026"/>
    <w:rsid w:val="006F2687"/>
    <w:rsid w:val="006F2C0E"/>
    <w:rsid w:val="006F35AD"/>
    <w:rsid w:val="006F4340"/>
    <w:rsid w:val="006F4766"/>
    <w:rsid w:val="006F4C52"/>
    <w:rsid w:val="006F5491"/>
    <w:rsid w:val="006F5C8F"/>
    <w:rsid w:val="006F7D6D"/>
    <w:rsid w:val="00700590"/>
    <w:rsid w:val="00700D3C"/>
    <w:rsid w:val="007024AD"/>
    <w:rsid w:val="00703A5A"/>
    <w:rsid w:val="00703EA6"/>
    <w:rsid w:val="0070602E"/>
    <w:rsid w:val="00706F70"/>
    <w:rsid w:val="0071106D"/>
    <w:rsid w:val="00711451"/>
    <w:rsid w:val="007134F8"/>
    <w:rsid w:val="007138E1"/>
    <w:rsid w:val="00714203"/>
    <w:rsid w:val="0071466C"/>
    <w:rsid w:val="00714993"/>
    <w:rsid w:val="00714E66"/>
    <w:rsid w:val="00716A89"/>
    <w:rsid w:val="007208BA"/>
    <w:rsid w:val="00720BDE"/>
    <w:rsid w:val="00721E8C"/>
    <w:rsid w:val="0072206B"/>
    <w:rsid w:val="007230E6"/>
    <w:rsid w:val="007238ED"/>
    <w:rsid w:val="00724432"/>
    <w:rsid w:val="007258F8"/>
    <w:rsid w:val="00726105"/>
    <w:rsid w:val="007263AA"/>
    <w:rsid w:val="00726943"/>
    <w:rsid w:val="00730351"/>
    <w:rsid w:val="007327C9"/>
    <w:rsid w:val="00734B53"/>
    <w:rsid w:val="00734B8F"/>
    <w:rsid w:val="00735437"/>
    <w:rsid w:val="00736CC1"/>
    <w:rsid w:val="007374C6"/>
    <w:rsid w:val="00737B46"/>
    <w:rsid w:val="00737D07"/>
    <w:rsid w:val="00737E34"/>
    <w:rsid w:val="0074137A"/>
    <w:rsid w:val="00741E6F"/>
    <w:rsid w:val="007423C4"/>
    <w:rsid w:val="00743125"/>
    <w:rsid w:val="007436F3"/>
    <w:rsid w:val="00744B35"/>
    <w:rsid w:val="00745E26"/>
    <w:rsid w:val="0074635C"/>
    <w:rsid w:val="007467DA"/>
    <w:rsid w:val="00747472"/>
    <w:rsid w:val="0075025A"/>
    <w:rsid w:val="00751422"/>
    <w:rsid w:val="00751AB0"/>
    <w:rsid w:val="007526EA"/>
    <w:rsid w:val="00752B83"/>
    <w:rsid w:val="007535CC"/>
    <w:rsid w:val="0075388F"/>
    <w:rsid w:val="00753EE0"/>
    <w:rsid w:val="00753FAE"/>
    <w:rsid w:val="0075435D"/>
    <w:rsid w:val="0075453C"/>
    <w:rsid w:val="00754F60"/>
    <w:rsid w:val="00755C08"/>
    <w:rsid w:val="00756AEF"/>
    <w:rsid w:val="00756D65"/>
    <w:rsid w:val="00756F1F"/>
    <w:rsid w:val="00757A80"/>
    <w:rsid w:val="00760262"/>
    <w:rsid w:val="0076057C"/>
    <w:rsid w:val="007607A6"/>
    <w:rsid w:val="00760C71"/>
    <w:rsid w:val="00760F28"/>
    <w:rsid w:val="00762089"/>
    <w:rsid w:val="00762A43"/>
    <w:rsid w:val="00762C4B"/>
    <w:rsid w:val="00762D1E"/>
    <w:rsid w:val="00763054"/>
    <w:rsid w:val="00763566"/>
    <w:rsid w:val="00763702"/>
    <w:rsid w:val="00764082"/>
    <w:rsid w:val="00764175"/>
    <w:rsid w:val="0076468B"/>
    <w:rsid w:val="00765534"/>
    <w:rsid w:val="007669B9"/>
    <w:rsid w:val="00767434"/>
    <w:rsid w:val="00767E52"/>
    <w:rsid w:val="007709CC"/>
    <w:rsid w:val="00770D3D"/>
    <w:rsid w:val="00773363"/>
    <w:rsid w:val="00773721"/>
    <w:rsid w:val="00774040"/>
    <w:rsid w:val="0077410A"/>
    <w:rsid w:val="007753BA"/>
    <w:rsid w:val="00775898"/>
    <w:rsid w:val="0077718C"/>
    <w:rsid w:val="00777C6B"/>
    <w:rsid w:val="007809BA"/>
    <w:rsid w:val="00781B66"/>
    <w:rsid w:val="00781F75"/>
    <w:rsid w:val="00782818"/>
    <w:rsid w:val="00782D6B"/>
    <w:rsid w:val="0078396C"/>
    <w:rsid w:val="00783B89"/>
    <w:rsid w:val="00784D15"/>
    <w:rsid w:val="00785C3A"/>
    <w:rsid w:val="00786BFA"/>
    <w:rsid w:val="007870C0"/>
    <w:rsid w:val="00787597"/>
    <w:rsid w:val="0078759A"/>
    <w:rsid w:val="0078792D"/>
    <w:rsid w:val="007902A5"/>
    <w:rsid w:val="00794C7E"/>
    <w:rsid w:val="00794FBD"/>
    <w:rsid w:val="0079731A"/>
    <w:rsid w:val="007A034C"/>
    <w:rsid w:val="007A0FCC"/>
    <w:rsid w:val="007A2400"/>
    <w:rsid w:val="007A2C69"/>
    <w:rsid w:val="007A3164"/>
    <w:rsid w:val="007A343C"/>
    <w:rsid w:val="007A37BB"/>
    <w:rsid w:val="007A5468"/>
    <w:rsid w:val="007A7A52"/>
    <w:rsid w:val="007B0A26"/>
    <w:rsid w:val="007B14D3"/>
    <w:rsid w:val="007B207D"/>
    <w:rsid w:val="007B2AE8"/>
    <w:rsid w:val="007B4F34"/>
    <w:rsid w:val="007B52A5"/>
    <w:rsid w:val="007B5983"/>
    <w:rsid w:val="007B5DE1"/>
    <w:rsid w:val="007B699A"/>
    <w:rsid w:val="007C05AB"/>
    <w:rsid w:val="007C1C24"/>
    <w:rsid w:val="007C2692"/>
    <w:rsid w:val="007C3FDD"/>
    <w:rsid w:val="007C4B96"/>
    <w:rsid w:val="007C5376"/>
    <w:rsid w:val="007C537A"/>
    <w:rsid w:val="007C649A"/>
    <w:rsid w:val="007C7487"/>
    <w:rsid w:val="007C7DEE"/>
    <w:rsid w:val="007C7E29"/>
    <w:rsid w:val="007D0ADC"/>
    <w:rsid w:val="007D1154"/>
    <w:rsid w:val="007D189E"/>
    <w:rsid w:val="007D43F1"/>
    <w:rsid w:val="007D4BB2"/>
    <w:rsid w:val="007D5150"/>
    <w:rsid w:val="007D6B70"/>
    <w:rsid w:val="007D6EC6"/>
    <w:rsid w:val="007D7A1D"/>
    <w:rsid w:val="007E1550"/>
    <w:rsid w:val="007E18E2"/>
    <w:rsid w:val="007E3210"/>
    <w:rsid w:val="007E3A88"/>
    <w:rsid w:val="007E536B"/>
    <w:rsid w:val="007E544D"/>
    <w:rsid w:val="007E64D7"/>
    <w:rsid w:val="007E7E89"/>
    <w:rsid w:val="007E7F52"/>
    <w:rsid w:val="007F0826"/>
    <w:rsid w:val="007F0D2B"/>
    <w:rsid w:val="007F1489"/>
    <w:rsid w:val="007F1FDB"/>
    <w:rsid w:val="007F2D43"/>
    <w:rsid w:val="007F30E0"/>
    <w:rsid w:val="007F365F"/>
    <w:rsid w:val="007F3CAD"/>
    <w:rsid w:val="007F3E1E"/>
    <w:rsid w:val="007F61F9"/>
    <w:rsid w:val="007F667E"/>
    <w:rsid w:val="00800F5C"/>
    <w:rsid w:val="0080112E"/>
    <w:rsid w:val="00801283"/>
    <w:rsid w:val="00801C08"/>
    <w:rsid w:val="00802631"/>
    <w:rsid w:val="00802891"/>
    <w:rsid w:val="00802CFC"/>
    <w:rsid w:val="008031DB"/>
    <w:rsid w:val="008038C0"/>
    <w:rsid w:val="0080596C"/>
    <w:rsid w:val="00806D57"/>
    <w:rsid w:val="0080706A"/>
    <w:rsid w:val="00810896"/>
    <w:rsid w:val="00810A01"/>
    <w:rsid w:val="00810A5E"/>
    <w:rsid w:val="0081108C"/>
    <w:rsid w:val="00811296"/>
    <w:rsid w:val="008116AB"/>
    <w:rsid w:val="00811A22"/>
    <w:rsid w:val="008122A8"/>
    <w:rsid w:val="0081283F"/>
    <w:rsid w:val="0081292C"/>
    <w:rsid w:val="00812ABC"/>
    <w:rsid w:val="00814407"/>
    <w:rsid w:val="0081544F"/>
    <w:rsid w:val="008156D7"/>
    <w:rsid w:val="008162E9"/>
    <w:rsid w:val="00817534"/>
    <w:rsid w:val="0081762B"/>
    <w:rsid w:val="00817BD2"/>
    <w:rsid w:val="00817DA7"/>
    <w:rsid w:val="00820835"/>
    <w:rsid w:val="008226AB"/>
    <w:rsid w:val="008228BA"/>
    <w:rsid w:val="0082576F"/>
    <w:rsid w:val="00825E28"/>
    <w:rsid w:val="00826512"/>
    <w:rsid w:val="0082654E"/>
    <w:rsid w:val="008275D7"/>
    <w:rsid w:val="0083001F"/>
    <w:rsid w:val="00830C93"/>
    <w:rsid w:val="008325FE"/>
    <w:rsid w:val="008326AA"/>
    <w:rsid w:val="00832F8A"/>
    <w:rsid w:val="00833BA1"/>
    <w:rsid w:val="00833E10"/>
    <w:rsid w:val="00834BEE"/>
    <w:rsid w:val="00836C1E"/>
    <w:rsid w:val="00840606"/>
    <w:rsid w:val="008414E1"/>
    <w:rsid w:val="00841885"/>
    <w:rsid w:val="008428B1"/>
    <w:rsid w:val="0084436B"/>
    <w:rsid w:val="00844507"/>
    <w:rsid w:val="008456EC"/>
    <w:rsid w:val="0084658E"/>
    <w:rsid w:val="00846B8D"/>
    <w:rsid w:val="00847DEF"/>
    <w:rsid w:val="00850115"/>
    <w:rsid w:val="0085014F"/>
    <w:rsid w:val="00850512"/>
    <w:rsid w:val="0085051F"/>
    <w:rsid w:val="00851C9A"/>
    <w:rsid w:val="00852401"/>
    <w:rsid w:val="00852A1A"/>
    <w:rsid w:val="0085302A"/>
    <w:rsid w:val="00853584"/>
    <w:rsid w:val="008536E8"/>
    <w:rsid w:val="00853EB9"/>
    <w:rsid w:val="00853EFB"/>
    <w:rsid w:val="00854267"/>
    <w:rsid w:val="008542D3"/>
    <w:rsid w:val="00854306"/>
    <w:rsid w:val="008545B8"/>
    <w:rsid w:val="00855F4E"/>
    <w:rsid w:val="00855FD8"/>
    <w:rsid w:val="00856770"/>
    <w:rsid w:val="008568D8"/>
    <w:rsid w:val="00856C2C"/>
    <w:rsid w:val="00857564"/>
    <w:rsid w:val="0086017C"/>
    <w:rsid w:val="008605D8"/>
    <w:rsid w:val="00860757"/>
    <w:rsid w:val="00861385"/>
    <w:rsid w:val="00861B2B"/>
    <w:rsid w:val="00862E94"/>
    <w:rsid w:val="00863E57"/>
    <w:rsid w:val="00865C98"/>
    <w:rsid w:val="00866B0D"/>
    <w:rsid w:val="00867ED9"/>
    <w:rsid w:val="0087064C"/>
    <w:rsid w:val="0087197A"/>
    <w:rsid w:val="0087556B"/>
    <w:rsid w:val="0087583D"/>
    <w:rsid w:val="00880364"/>
    <w:rsid w:val="00881183"/>
    <w:rsid w:val="00881AC5"/>
    <w:rsid w:val="00883308"/>
    <w:rsid w:val="008838A9"/>
    <w:rsid w:val="00884C88"/>
    <w:rsid w:val="00887EB9"/>
    <w:rsid w:val="008905DF"/>
    <w:rsid w:val="00890D99"/>
    <w:rsid w:val="008912A9"/>
    <w:rsid w:val="00892333"/>
    <w:rsid w:val="0089265E"/>
    <w:rsid w:val="00892C5C"/>
    <w:rsid w:val="008934C3"/>
    <w:rsid w:val="0089380E"/>
    <w:rsid w:val="00893BDB"/>
    <w:rsid w:val="00893D86"/>
    <w:rsid w:val="008947A4"/>
    <w:rsid w:val="00897515"/>
    <w:rsid w:val="008A0A7D"/>
    <w:rsid w:val="008A13A9"/>
    <w:rsid w:val="008A2DEA"/>
    <w:rsid w:val="008A3532"/>
    <w:rsid w:val="008A39F5"/>
    <w:rsid w:val="008A3DB1"/>
    <w:rsid w:val="008A4D5C"/>
    <w:rsid w:val="008A52DF"/>
    <w:rsid w:val="008A57A4"/>
    <w:rsid w:val="008A623C"/>
    <w:rsid w:val="008A685A"/>
    <w:rsid w:val="008A6AD9"/>
    <w:rsid w:val="008A7041"/>
    <w:rsid w:val="008A7BB8"/>
    <w:rsid w:val="008B2B53"/>
    <w:rsid w:val="008B38BC"/>
    <w:rsid w:val="008B3AAD"/>
    <w:rsid w:val="008B426B"/>
    <w:rsid w:val="008B4A0C"/>
    <w:rsid w:val="008B56D7"/>
    <w:rsid w:val="008B6271"/>
    <w:rsid w:val="008B7BF0"/>
    <w:rsid w:val="008C1879"/>
    <w:rsid w:val="008C191D"/>
    <w:rsid w:val="008C2366"/>
    <w:rsid w:val="008C2B44"/>
    <w:rsid w:val="008C326F"/>
    <w:rsid w:val="008C3500"/>
    <w:rsid w:val="008C362E"/>
    <w:rsid w:val="008C48F6"/>
    <w:rsid w:val="008C4F6F"/>
    <w:rsid w:val="008C5E38"/>
    <w:rsid w:val="008C5E3C"/>
    <w:rsid w:val="008C6C90"/>
    <w:rsid w:val="008D035A"/>
    <w:rsid w:val="008D07E4"/>
    <w:rsid w:val="008D08D9"/>
    <w:rsid w:val="008D128E"/>
    <w:rsid w:val="008D2F6D"/>
    <w:rsid w:val="008D33BA"/>
    <w:rsid w:val="008D5F1A"/>
    <w:rsid w:val="008D6A4D"/>
    <w:rsid w:val="008D6EDF"/>
    <w:rsid w:val="008E0C64"/>
    <w:rsid w:val="008E0C93"/>
    <w:rsid w:val="008E2C0C"/>
    <w:rsid w:val="008E3154"/>
    <w:rsid w:val="008E3864"/>
    <w:rsid w:val="008E45AD"/>
    <w:rsid w:val="008E462E"/>
    <w:rsid w:val="008E59D9"/>
    <w:rsid w:val="008E6338"/>
    <w:rsid w:val="008E63B9"/>
    <w:rsid w:val="008E6E61"/>
    <w:rsid w:val="008F009A"/>
    <w:rsid w:val="008F0927"/>
    <w:rsid w:val="008F1DA0"/>
    <w:rsid w:val="008F1E3A"/>
    <w:rsid w:val="008F2540"/>
    <w:rsid w:val="008F25E6"/>
    <w:rsid w:val="008F2E0F"/>
    <w:rsid w:val="008F4A04"/>
    <w:rsid w:val="008F4C3D"/>
    <w:rsid w:val="008F4FC8"/>
    <w:rsid w:val="008F5187"/>
    <w:rsid w:val="008F544C"/>
    <w:rsid w:val="008F5515"/>
    <w:rsid w:val="008F7534"/>
    <w:rsid w:val="008F774C"/>
    <w:rsid w:val="0090074F"/>
    <w:rsid w:val="009015E8"/>
    <w:rsid w:val="00902D9E"/>
    <w:rsid w:val="009031D9"/>
    <w:rsid w:val="00903931"/>
    <w:rsid w:val="00903CEF"/>
    <w:rsid w:val="00904334"/>
    <w:rsid w:val="00904B13"/>
    <w:rsid w:val="00906441"/>
    <w:rsid w:val="009070BB"/>
    <w:rsid w:val="00910BD4"/>
    <w:rsid w:val="009110A2"/>
    <w:rsid w:val="00912D79"/>
    <w:rsid w:val="00912ECA"/>
    <w:rsid w:val="00912FDD"/>
    <w:rsid w:val="0091376B"/>
    <w:rsid w:val="0091395B"/>
    <w:rsid w:val="00914A0B"/>
    <w:rsid w:val="00914D0C"/>
    <w:rsid w:val="00915051"/>
    <w:rsid w:val="00916471"/>
    <w:rsid w:val="0091671F"/>
    <w:rsid w:val="009170D0"/>
    <w:rsid w:val="009202CE"/>
    <w:rsid w:val="009211A6"/>
    <w:rsid w:val="009212C8"/>
    <w:rsid w:val="00921652"/>
    <w:rsid w:val="00921941"/>
    <w:rsid w:val="00921B6B"/>
    <w:rsid w:val="0092253D"/>
    <w:rsid w:val="00922737"/>
    <w:rsid w:val="0092330C"/>
    <w:rsid w:val="00923D90"/>
    <w:rsid w:val="00924AD4"/>
    <w:rsid w:val="0092523E"/>
    <w:rsid w:val="0092524C"/>
    <w:rsid w:val="0092528E"/>
    <w:rsid w:val="00925418"/>
    <w:rsid w:val="00925719"/>
    <w:rsid w:val="00930FDC"/>
    <w:rsid w:val="009310BF"/>
    <w:rsid w:val="00931651"/>
    <w:rsid w:val="00931BE7"/>
    <w:rsid w:val="009321B5"/>
    <w:rsid w:val="0093252B"/>
    <w:rsid w:val="009325FA"/>
    <w:rsid w:val="00932856"/>
    <w:rsid w:val="00935047"/>
    <w:rsid w:val="00935B34"/>
    <w:rsid w:val="009377D5"/>
    <w:rsid w:val="00940E07"/>
    <w:rsid w:val="00941A63"/>
    <w:rsid w:val="00941FC4"/>
    <w:rsid w:val="00942A6C"/>
    <w:rsid w:val="009436E1"/>
    <w:rsid w:val="0094404A"/>
    <w:rsid w:val="009457E2"/>
    <w:rsid w:val="00946A60"/>
    <w:rsid w:val="00946C5C"/>
    <w:rsid w:val="0094723E"/>
    <w:rsid w:val="009473FD"/>
    <w:rsid w:val="009475C3"/>
    <w:rsid w:val="009509AF"/>
    <w:rsid w:val="00950E28"/>
    <w:rsid w:val="009511B1"/>
    <w:rsid w:val="00952E15"/>
    <w:rsid w:val="009533AD"/>
    <w:rsid w:val="00953D42"/>
    <w:rsid w:val="00955E00"/>
    <w:rsid w:val="00956C0E"/>
    <w:rsid w:val="00956D0C"/>
    <w:rsid w:val="00957368"/>
    <w:rsid w:val="00960213"/>
    <w:rsid w:val="0096024A"/>
    <w:rsid w:val="0096026B"/>
    <w:rsid w:val="00960365"/>
    <w:rsid w:val="0096081E"/>
    <w:rsid w:val="009608B9"/>
    <w:rsid w:val="0096095D"/>
    <w:rsid w:val="009646BF"/>
    <w:rsid w:val="00966D19"/>
    <w:rsid w:val="00966F1A"/>
    <w:rsid w:val="0097138C"/>
    <w:rsid w:val="009728EB"/>
    <w:rsid w:val="00972DAF"/>
    <w:rsid w:val="00972E59"/>
    <w:rsid w:val="009733D2"/>
    <w:rsid w:val="00973CA2"/>
    <w:rsid w:val="0097424C"/>
    <w:rsid w:val="009746DF"/>
    <w:rsid w:val="0097759F"/>
    <w:rsid w:val="00980E3B"/>
    <w:rsid w:val="00980F93"/>
    <w:rsid w:val="00981BA1"/>
    <w:rsid w:val="00981D40"/>
    <w:rsid w:val="0098209D"/>
    <w:rsid w:val="00982228"/>
    <w:rsid w:val="0098231F"/>
    <w:rsid w:val="00982BDD"/>
    <w:rsid w:val="00983FB6"/>
    <w:rsid w:val="009851FD"/>
    <w:rsid w:val="0098525C"/>
    <w:rsid w:val="00986078"/>
    <w:rsid w:val="00986B4A"/>
    <w:rsid w:val="00987444"/>
    <w:rsid w:val="009874B9"/>
    <w:rsid w:val="009901BA"/>
    <w:rsid w:val="009906E4"/>
    <w:rsid w:val="00990839"/>
    <w:rsid w:val="0099175D"/>
    <w:rsid w:val="0099280E"/>
    <w:rsid w:val="00992F13"/>
    <w:rsid w:val="009930F4"/>
    <w:rsid w:val="00993D3D"/>
    <w:rsid w:val="0099452D"/>
    <w:rsid w:val="00994A27"/>
    <w:rsid w:val="00995115"/>
    <w:rsid w:val="00995E66"/>
    <w:rsid w:val="00996684"/>
    <w:rsid w:val="009967E0"/>
    <w:rsid w:val="009A072A"/>
    <w:rsid w:val="009A076E"/>
    <w:rsid w:val="009A13B8"/>
    <w:rsid w:val="009A160A"/>
    <w:rsid w:val="009A17DD"/>
    <w:rsid w:val="009A216B"/>
    <w:rsid w:val="009A2907"/>
    <w:rsid w:val="009A2B83"/>
    <w:rsid w:val="009A33C6"/>
    <w:rsid w:val="009A357A"/>
    <w:rsid w:val="009A47F2"/>
    <w:rsid w:val="009A4A82"/>
    <w:rsid w:val="009A5239"/>
    <w:rsid w:val="009A5893"/>
    <w:rsid w:val="009A5F88"/>
    <w:rsid w:val="009A6427"/>
    <w:rsid w:val="009A644F"/>
    <w:rsid w:val="009A64BA"/>
    <w:rsid w:val="009A6A78"/>
    <w:rsid w:val="009A7099"/>
    <w:rsid w:val="009A71CB"/>
    <w:rsid w:val="009A78FC"/>
    <w:rsid w:val="009B0291"/>
    <w:rsid w:val="009B3262"/>
    <w:rsid w:val="009B401F"/>
    <w:rsid w:val="009B4680"/>
    <w:rsid w:val="009B5F6C"/>
    <w:rsid w:val="009B7EAE"/>
    <w:rsid w:val="009C0DB0"/>
    <w:rsid w:val="009C1727"/>
    <w:rsid w:val="009C19D2"/>
    <w:rsid w:val="009C20CC"/>
    <w:rsid w:val="009C252B"/>
    <w:rsid w:val="009C3558"/>
    <w:rsid w:val="009C5379"/>
    <w:rsid w:val="009C597F"/>
    <w:rsid w:val="009C6513"/>
    <w:rsid w:val="009C6982"/>
    <w:rsid w:val="009C6B1C"/>
    <w:rsid w:val="009C7A1D"/>
    <w:rsid w:val="009C7B94"/>
    <w:rsid w:val="009D0177"/>
    <w:rsid w:val="009D059E"/>
    <w:rsid w:val="009D1FF7"/>
    <w:rsid w:val="009D4208"/>
    <w:rsid w:val="009E002D"/>
    <w:rsid w:val="009E02C1"/>
    <w:rsid w:val="009E0E60"/>
    <w:rsid w:val="009E1445"/>
    <w:rsid w:val="009E146B"/>
    <w:rsid w:val="009E1CDD"/>
    <w:rsid w:val="009E20FF"/>
    <w:rsid w:val="009E32B3"/>
    <w:rsid w:val="009E3F8D"/>
    <w:rsid w:val="009E4279"/>
    <w:rsid w:val="009E6C9B"/>
    <w:rsid w:val="009F12C7"/>
    <w:rsid w:val="009F1373"/>
    <w:rsid w:val="009F2F62"/>
    <w:rsid w:val="009F38F6"/>
    <w:rsid w:val="009F466D"/>
    <w:rsid w:val="009F472A"/>
    <w:rsid w:val="009F654D"/>
    <w:rsid w:val="009F7025"/>
    <w:rsid w:val="009F7258"/>
    <w:rsid w:val="009F7350"/>
    <w:rsid w:val="009F7D78"/>
    <w:rsid w:val="00A02AF9"/>
    <w:rsid w:val="00A02E9C"/>
    <w:rsid w:val="00A03F5F"/>
    <w:rsid w:val="00A0402C"/>
    <w:rsid w:val="00A04E3C"/>
    <w:rsid w:val="00A0533B"/>
    <w:rsid w:val="00A053A1"/>
    <w:rsid w:val="00A054CE"/>
    <w:rsid w:val="00A055E8"/>
    <w:rsid w:val="00A05C51"/>
    <w:rsid w:val="00A06ADB"/>
    <w:rsid w:val="00A07B53"/>
    <w:rsid w:val="00A07BD5"/>
    <w:rsid w:val="00A07CCB"/>
    <w:rsid w:val="00A1063F"/>
    <w:rsid w:val="00A10779"/>
    <w:rsid w:val="00A10AC4"/>
    <w:rsid w:val="00A10C74"/>
    <w:rsid w:val="00A10D80"/>
    <w:rsid w:val="00A11CA0"/>
    <w:rsid w:val="00A1262F"/>
    <w:rsid w:val="00A12A01"/>
    <w:rsid w:val="00A12AD9"/>
    <w:rsid w:val="00A14C6E"/>
    <w:rsid w:val="00A160F7"/>
    <w:rsid w:val="00A1635F"/>
    <w:rsid w:val="00A16833"/>
    <w:rsid w:val="00A17228"/>
    <w:rsid w:val="00A17EA9"/>
    <w:rsid w:val="00A22F22"/>
    <w:rsid w:val="00A24948"/>
    <w:rsid w:val="00A24CF9"/>
    <w:rsid w:val="00A2501E"/>
    <w:rsid w:val="00A25C62"/>
    <w:rsid w:val="00A278AA"/>
    <w:rsid w:val="00A30EF7"/>
    <w:rsid w:val="00A314D6"/>
    <w:rsid w:val="00A31C85"/>
    <w:rsid w:val="00A3276C"/>
    <w:rsid w:val="00A33857"/>
    <w:rsid w:val="00A354A2"/>
    <w:rsid w:val="00A35816"/>
    <w:rsid w:val="00A36051"/>
    <w:rsid w:val="00A36207"/>
    <w:rsid w:val="00A4056F"/>
    <w:rsid w:val="00A43B87"/>
    <w:rsid w:val="00A43D31"/>
    <w:rsid w:val="00A44BAB"/>
    <w:rsid w:val="00A461D9"/>
    <w:rsid w:val="00A46453"/>
    <w:rsid w:val="00A4712D"/>
    <w:rsid w:val="00A4786D"/>
    <w:rsid w:val="00A5165D"/>
    <w:rsid w:val="00A51E64"/>
    <w:rsid w:val="00A52C5E"/>
    <w:rsid w:val="00A53454"/>
    <w:rsid w:val="00A54297"/>
    <w:rsid w:val="00A554F4"/>
    <w:rsid w:val="00A56093"/>
    <w:rsid w:val="00A564FF"/>
    <w:rsid w:val="00A56958"/>
    <w:rsid w:val="00A56AF8"/>
    <w:rsid w:val="00A57CAF"/>
    <w:rsid w:val="00A61710"/>
    <w:rsid w:val="00A620AA"/>
    <w:rsid w:val="00A6293F"/>
    <w:rsid w:val="00A62C5D"/>
    <w:rsid w:val="00A62D00"/>
    <w:rsid w:val="00A65354"/>
    <w:rsid w:val="00A65749"/>
    <w:rsid w:val="00A66393"/>
    <w:rsid w:val="00A67EC4"/>
    <w:rsid w:val="00A7229E"/>
    <w:rsid w:val="00A72A9F"/>
    <w:rsid w:val="00A72E92"/>
    <w:rsid w:val="00A73C21"/>
    <w:rsid w:val="00A744C7"/>
    <w:rsid w:val="00A74838"/>
    <w:rsid w:val="00A74BF2"/>
    <w:rsid w:val="00A76082"/>
    <w:rsid w:val="00A76FBD"/>
    <w:rsid w:val="00A7724E"/>
    <w:rsid w:val="00A8047D"/>
    <w:rsid w:val="00A807DB"/>
    <w:rsid w:val="00A80D80"/>
    <w:rsid w:val="00A810C4"/>
    <w:rsid w:val="00A813D9"/>
    <w:rsid w:val="00A81FBD"/>
    <w:rsid w:val="00A82240"/>
    <w:rsid w:val="00A8277D"/>
    <w:rsid w:val="00A82798"/>
    <w:rsid w:val="00A82BFC"/>
    <w:rsid w:val="00A835C5"/>
    <w:rsid w:val="00A83C2E"/>
    <w:rsid w:val="00A84F0F"/>
    <w:rsid w:val="00A84F6A"/>
    <w:rsid w:val="00A865DD"/>
    <w:rsid w:val="00A86E2C"/>
    <w:rsid w:val="00A907A9"/>
    <w:rsid w:val="00A918A0"/>
    <w:rsid w:val="00A91FE2"/>
    <w:rsid w:val="00A920A4"/>
    <w:rsid w:val="00A9228B"/>
    <w:rsid w:val="00A922BF"/>
    <w:rsid w:val="00A92E1D"/>
    <w:rsid w:val="00A932CB"/>
    <w:rsid w:val="00A9348A"/>
    <w:rsid w:val="00A934E0"/>
    <w:rsid w:val="00A94C1B"/>
    <w:rsid w:val="00A95366"/>
    <w:rsid w:val="00A95C82"/>
    <w:rsid w:val="00A96147"/>
    <w:rsid w:val="00A9616D"/>
    <w:rsid w:val="00A9722D"/>
    <w:rsid w:val="00A9761A"/>
    <w:rsid w:val="00A979B9"/>
    <w:rsid w:val="00AA0322"/>
    <w:rsid w:val="00AA275E"/>
    <w:rsid w:val="00AA3028"/>
    <w:rsid w:val="00AA54FC"/>
    <w:rsid w:val="00AA590F"/>
    <w:rsid w:val="00AA5C45"/>
    <w:rsid w:val="00AA6421"/>
    <w:rsid w:val="00AA6551"/>
    <w:rsid w:val="00AA6CAD"/>
    <w:rsid w:val="00AB0AF1"/>
    <w:rsid w:val="00AB0EAA"/>
    <w:rsid w:val="00AB1977"/>
    <w:rsid w:val="00AB4280"/>
    <w:rsid w:val="00AB44C1"/>
    <w:rsid w:val="00AB646B"/>
    <w:rsid w:val="00AB6EE9"/>
    <w:rsid w:val="00AB77D8"/>
    <w:rsid w:val="00AC0BCD"/>
    <w:rsid w:val="00AC1459"/>
    <w:rsid w:val="00AC160C"/>
    <w:rsid w:val="00AC1F6D"/>
    <w:rsid w:val="00AC27AE"/>
    <w:rsid w:val="00AC2C55"/>
    <w:rsid w:val="00AC3DCC"/>
    <w:rsid w:val="00AC540B"/>
    <w:rsid w:val="00AC6047"/>
    <w:rsid w:val="00AC64B4"/>
    <w:rsid w:val="00AC7943"/>
    <w:rsid w:val="00AD0A0A"/>
    <w:rsid w:val="00AD254B"/>
    <w:rsid w:val="00AD3099"/>
    <w:rsid w:val="00AD44CA"/>
    <w:rsid w:val="00AD4EA4"/>
    <w:rsid w:val="00AD4FE1"/>
    <w:rsid w:val="00AD554C"/>
    <w:rsid w:val="00AD60C6"/>
    <w:rsid w:val="00AD6A4C"/>
    <w:rsid w:val="00AD7193"/>
    <w:rsid w:val="00AD7B44"/>
    <w:rsid w:val="00AE0B08"/>
    <w:rsid w:val="00AE1C99"/>
    <w:rsid w:val="00AE2F53"/>
    <w:rsid w:val="00AE60F1"/>
    <w:rsid w:val="00AE6826"/>
    <w:rsid w:val="00AE695D"/>
    <w:rsid w:val="00AE6D2C"/>
    <w:rsid w:val="00AE6D94"/>
    <w:rsid w:val="00AE7B28"/>
    <w:rsid w:val="00AE7BF8"/>
    <w:rsid w:val="00AE7CE0"/>
    <w:rsid w:val="00AF0157"/>
    <w:rsid w:val="00AF0321"/>
    <w:rsid w:val="00AF1151"/>
    <w:rsid w:val="00AF1BD4"/>
    <w:rsid w:val="00AF3803"/>
    <w:rsid w:val="00AF39CE"/>
    <w:rsid w:val="00AF3B88"/>
    <w:rsid w:val="00AF480C"/>
    <w:rsid w:val="00AF5752"/>
    <w:rsid w:val="00AF5A5B"/>
    <w:rsid w:val="00AF6AAE"/>
    <w:rsid w:val="00B01380"/>
    <w:rsid w:val="00B01AC2"/>
    <w:rsid w:val="00B02B3D"/>
    <w:rsid w:val="00B03418"/>
    <w:rsid w:val="00B03501"/>
    <w:rsid w:val="00B03661"/>
    <w:rsid w:val="00B03C72"/>
    <w:rsid w:val="00B03DFD"/>
    <w:rsid w:val="00B0444D"/>
    <w:rsid w:val="00B054D1"/>
    <w:rsid w:val="00B06820"/>
    <w:rsid w:val="00B07086"/>
    <w:rsid w:val="00B072DE"/>
    <w:rsid w:val="00B113A9"/>
    <w:rsid w:val="00B116FB"/>
    <w:rsid w:val="00B1240C"/>
    <w:rsid w:val="00B12426"/>
    <w:rsid w:val="00B12926"/>
    <w:rsid w:val="00B138D9"/>
    <w:rsid w:val="00B15006"/>
    <w:rsid w:val="00B1503C"/>
    <w:rsid w:val="00B15AE9"/>
    <w:rsid w:val="00B15EFC"/>
    <w:rsid w:val="00B16235"/>
    <w:rsid w:val="00B16385"/>
    <w:rsid w:val="00B175CB"/>
    <w:rsid w:val="00B20093"/>
    <w:rsid w:val="00B203B3"/>
    <w:rsid w:val="00B20480"/>
    <w:rsid w:val="00B20D84"/>
    <w:rsid w:val="00B21C70"/>
    <w:rsid w:val="00B22368"/>
    <w:rsid w:val="00B22D71"/>
    <w:rsid w:val="00B22F50"/>
    <w:rsid w:val="00B24862"/>
    <w:rsid w:val="00B249E4"/>
    <w:rsid w:val="00B24BA6"/>
    <w:rsid w:val="00B27F6D"/>
    <w:rsid w:val="00B308E4"/>
    <w:rsid w:val="00B33475"/>
    <w:rsid w:val="00B33E99"/>
    <w:rsid w:val="00B33F3C"/>
    <w:rsid w:val="00B34DB1"/>
    <w:rsid w:val="00B357DA"/>
    <w:rsid w:val="00B35983"/>
    <w:rsid w:val="00B36A7E"/>
    <w:rsid w:val="00B36D09"/>
    <w:rsid w:val="00B40336"/>
    <w:rsid w:val="00B4085A"/>
    <w:rsid w:val="00B419A5"/>
    <w:rsid w:val="00B4272E"/>
    <w:rsid w:val="00B43AE5"/>
    <w:rsid w:val="00B43B03"/>
    <w:rsid w:val="00B4411A"/>
    <w:rsid w:val="00B44A35"/>
    <w:rsid w:val="00B44BC5"/>
    <w:rsid w:val="00B45D27"/>
    <w:rsid w:val="00B47B1D"/>
    <w:rsid w:val="00B47F8D"/>
    <w:rsid w:val="00B5104A"/>
    <w:rsid w:val="00B52805"/>
    <w:rsid w:val="00B528C6"/>
    <w:rsid w:val="00B5395F"/>
    <w:rsid w:val="00B543A2"/>
    <w:rsid w:val="00B55F62"/>
    <w:rsid w:val="00B573B8"/>
    <w:rsid w:val="00B6149F"/>
    <w:rsid w:val="00B61886"/>
    <w:rsid w:val="00B62453"/>
    <w:rsid w:val="00B62844"/>
    <w:rsid w:val="00B63830"/>
    <w:rsid w:val="00B63C3B"/>
    <w:rsid w:val="00B64237"/>
    <w:rsid w:val="00B644D2"/>
    <w:rsid w:val="00B65569"/>
    <w:rsid w:val="00B65D56"/>
    <w:rsid w:val="00B6747D"/>
    <w:rsid w:val="00B67547"/>
    <w:rsid w:val="00B675AF"/>
    <w:rsid w:val="00B67872"/>
    <w:rsid w:val="00B701F9"/>
    <w:rsid w:val="00B70B32"/>
    <w:rsid w:val="00B712B4"/>
    <w:rsid w:val="00B71A1D"/>
    <w:rsid w:val="00B71AE5"/>
    <w:rsid w:val="00B72806"/>
    <w:rsid w:val="00B74751"/>
    <w:rsid w:val="00B74D45"/>
    <w:rsid w:val="00B74D83"/>
    <w:rsid w:val="00B75222"/>
    <w:rsid w:val="00B75536"/>
    <w:rsid w:val="00B759CE"/>
    <w:rsid w:val="00B7646C"/>
    <w:rsid w:val="00B8142F"/>
    <w:rsid w:val="00B81F88"/>
    <w:rsid w:val="00B83046"/>
    <w:rsid w:val="00B83511"/>
    <w:rsid w:val="00B839DD"/>
    <w:rsid w:val="00B8411C"/>
    <w:rsid w:val="00B85FB7"/>
    <w:rsid w:val="00B87D9A"/>
    <w:rsid w:val="00B90754"/>
    <w:rsid w:val="00B90F3D"/>
    <w:rsid w:val="00B92DE7"/>
    <w:rsid w:val="00B940AC"/>
    <w:rsid w:val="00B94313"/>
    <w:rsid w:val="00B943FA"/>
    <w:rsid w:val="00B94DC5"/>
    <w:rsid w:val="00B9537A"/>
    <w:rsid w:val="00B976E2"/>
    <w:rsid w:val="00B97720"/>
    <w:rsid w:val="00B97EC6"/>
    <w:rsid w:val="00BA12F7"/>
    <w:rsid w:val="00BA2187"/>
    <w:rsid w:val="00BA21F2"/>
    <w:rsid w:val="00BA2E50"/>
    <w:rsid w:val="00BA30CB"/>
    <w:rsid w:val="00BA3164"/>
    <w:rsid w:val="00BA4855"/>
    <w:rsid w:val="00BA5059"/>
    <w:rsid w:val="00BA5125"/>
    <w:rsid w:val="00BA71C8"/>
    <w:rsid w:val="00BA733D"/>
    <w:rsid w:val="00BA74CC"/>
    <w:rsid w:val="00BB029E"/>
    <w:rsid w:val="00BB099F"/>
    <w:rsid w:val="00BB1A40"/>
    <w:rsid w:val="00BB2039"/>
    <w:rsid w:val="00BB240A"/>
    <w:rsid w:val="00BB284C"/>
    <w:rsid w:val="00BB29F8"/>
    <w:rsid w:val="00BB2F80"/>
    <w:rsid w:val="00BB37DF"/>
    <w:rsid w:val="00BB3B92"/>
    <w:rsid w:val="00BB3EF0"/>
    <w:rsid w:val="00BB4162"/>
    <w:rsid w:val="00BB50A6"/>
    <w:rsid w:val="00BB55F4"/>
    <w:rsid w:val="00BB5B66"/>
    <w:rsid w:val="00BB5D46"/>
    <w:rsid w:val="00BB62E3"/>
    <w:rsid w:val="00BB68A8"/>
    <w:rsid w:val="00BB6CA2"/>
    <w:rsid w:val="00BB72D9"/>
    <w:rsid w:val="00BB7F76"/>
    <w:rsid w:val="00BC0729"/>
    <w:rsid w:val="00BC2056"/>
    <w:rsid w:val="00BC22AE"/>
    <w:rsid w:val="00BC3455"/>
    <w:rsid w:val="00BC3A84"/>
    <w:rsid w:val="00BC4B90"/>
    <w:rsid w:val="00BC6C1A"/>
    <w:rsid w:val="00BC6D17"/>
    <w:rsid w:val="00BC7916"/>
    <w:rsid w:val="00BD0834"/>
    <w:rsid w:val="00BD0A15"/>
    <w:rsid w:val="00BD41D9"/>
    <w:rsid w:val="00BD45B5"/>
    <w:rsid w:val="00BD5022"/>
    <w:rsid w:val="00BD50B1"/>
    <w:rsid w:val="00BD5450"/>
    <w:rsid w:val="00BD5550"/>
    <w:rsid w:val="00BD5E26"/>
    <w:rsid w:val="00BD70D1"/>
    <w:rsid w:val="00BD7411"/>
    <w:rsid w:val="00BE25C5"/>
    <w:rsid w:val="00BE28D6"/>
    <w:rsid w:val="00BE2E38"/>
    <w:rsid w:val="00BE3876"/>
    <w:rsid w:val="00BE3923"/>
    <w:rsid w:val="00BE419F"/>
    <w:rsid w:val="00BE4CA8"/>
    <w:rsid w:val="00BE6B0C"/>
    <w:rsid w:val="00BE6DDA"/>
    <w:rsid w:val="00BF07AD"/>
    <w:rsid w:val="00BF0D5E"/>
    <w:rsid w:val="00BF0F4F"/>
    <w:rsid w:val="00BF1232"/>
    <w:rsid w:val="00BF158A"/>
    <w:rsid w:val="00BF3CF9"/>
    <w:rsid w:val="00BF53D2"/>
    <w:rsid w:val="00BF574F"/>
    <w:rsid w:val="00BF607D"/>
    <w:rsid w:val="00BF650C"/>
    <w:rsid w:val="00BF69B5"/>
    <w:rsid w:val="00BF69EF"/>
    <w:rsid w:val="00BF6DBF"/>
    <w:rsid w:val="00C00121"/>
    <w:rsid w:val="00C00316"/>
    <w:rsid w:val="00C00C2F"/>
    <w:rsid w:val="00C01888"/>
    <w:rsid w:val="00C03132"/>
    <w:rsid w:val="00C03796"/>
    <w:rsid w:val="00C04C15"/>
    <w:rsid w:val="00C0684E"/>
    <w:rsid w:val="00C06ED5"/>
    <w:rsid w:val="00C10847"/>
    <w:rsid w:val="00C1117C"/>
    <w:rsid w:val="00C1156F"/>
    <w:rsid w:val="00C116AD"/>
    <w:rsid w:val="00C116F0"/>
    <w:rsid w:val="00C13104"/>
    <w:rsid w:val="00C16E83"/>
    <w:rsid w:val="00C21617"/>
    <w:rsid w:val="00C2236A"/>
    <w:rsid w:val="00C224F3"/>
    <w:rsid w:val="00C246FC"/>
    <w:rsid w:val="00C24E4F"/>
    <w:rsid w:val="00C25113"/>
    <w:rsid w:val="00C25A67"/>
    <w:rsid w:val="00C25D05"/>
    <w:rsid w:val="00C2670F"/>
    <w:rsid w:val="00C27C9A"/>
    <w:rsid w:val="00C32295"/>
    <w:rsid w:val="00C32B41"/>
    <w:rsid w:val="00C33D70"/>
    <w:rsid w:val="00C345A1"/>
    <w:rsid w:val="00C35220"/>
    <w:rsid w:val="00C35940"/>
    <w:rsid w:val="00C363F8"/>
    <w:rsid w:val="00C36740"/>
    <w:rsid w:val="00C371BD"/>
    <w:rsid w:val="00C37DB7"/>
    <w:rsid w:val="00C412A2"/>
    <w:rsid w:val="00C41C66"/>
    <w:rsid w:val="00C42086"/>
    <w:rsid w:val="00C421FA"/>
    <w:rsid w:val="00C434E9"/>
    <w:rsid w:val="00C43557"/>
    <w:rsid w:val="00C43611"/>
    <w:rsid w:val="00C438EB"/>
    <w:rsid w:val="00C44764"/>
    <w:rsid w:val="00C44B9B"/>
    <w:rsid w:val="00C465C1"/>
    <w:rsid w:val="00C5024B"/>
    <w:rsid w:val="00C502A9"/>
    <w:rsid w:val="00C50CC0"/>
    <w:rsid w:val="00C54526"/>
    <w:rsid w:val="00C54BE4"/>
    <w:rsid w:val="00C55162"/>
    <w:rsid w:val="00C5654D"/>
    <w:rsid w:val="00C603FB"/>
    <w:rsid w:val="00C608A6"/>
    <w:rsid w:val="00C60AF5"/>
    <w:rsid w:val="00C62DB3"/>
    <w:rsid w:val="00C62F5D"/>
    <w:rsid w:val="00C63418"/>
    <w:rsid w:val="00C64698"/>
    <w:rsid w:val="00C647C1"/>
    <w:rsid w:val="00C65E13"/>
    <w:rsid w:val="00C66148"/>
    <w:rsid w:val="00C6709A"/>
    <w:rsid w:val="00C673B4"/>
    <w:rsid w:val="00C715F5"/>
    <w:rsid w:val="00C7215F"/>
    <w:rsid w:val="00C72AED"/>
    <w:rsid w:val="00C72CA3"/>
    <w:rsid w:val="00C752C1"/>
    <w:rsid w:val="00C7645F"/>
    <w:rsid w:val="00C76FF2"/>
    <w:rsid w:val="00C80637"/>
    <w:rsid w:val="00C8064C"/>
    <w:rsid w:val="00C81505"/>
    <w:rsid w:val="00C82548"/>
    <w:rsid w:val="00C83FB2"/>
    <w:rsid w:val="00C86087"/>
    <w:rsid w:val="00C87674"/>
    <w:rsid w:val="00C90588"/>
    <w:rsid w:val="00C91E1A"/>
    <w:rsid w:val="00C922E2"/>
    <w:rsid w:val="00C927D6"/>
    <w:rsid w:val="00C92ADC"/>
    <w:rsid w:val="00C93B64"/>
    <w:rsid w:val="00C94333"/>
    <w:rsid w:val="00C94D9A"/>
    <w:rsid w:val="00C96EA7"/>
    <w:rsid w:val="00C970A5"/>
    <w:rsid w:val="00C971A4"/>
    <w:rsid w:val="00CA1113"/>
    <w:rsid w:val="00CA144B"/>
    <w:rsid w:val="00CA19A2"/>
    <w:rsid w:val="00CA24E0"/>
    <w:rsid w:val="00CA4033"/>
    <w:rsid w:val="00CA41B9"/>
    <w:rsid w:val="00CA4286"/>
    <w:rsid w:val="00CA63F5"/>
    <w:rsid w:val="00CA6533"/>
    <w:rsid w:val="00CA69A1"/>
    <w:rsid w:val="00CA6CAA"/>
    <w:rsid w:val="00CB0195"/>
    <w:rsid w:val="00CB0779"/>
    <w:rsid w:val="00CB23B3"/>
    <w:rsid w:val="00CB2A4B"/>
    <w:rsid w:val="00CB3733"/>
    <w:rsid w:val="00CB471A"/>
    <w:rsid w:val="00CC0355"/>
    <w:rsid w:val="00CC12E3"/>
    <w:rsid w:val="00CC1813"/>
    <w:rsid w:val="00CC2473"/>
    <w:rsid w:val="00CC2912"/>
    <w:rsid w:val="00CC2C7D"/>
    <w:rsid w:val="00CC3503"/>
    <w:rsid w:val="00CC3C86"/>
    <w:rsid w:val="00CC44EA"/>
    <w:rsid w:val="00CC4B12"/>
    <w:rsid w:val="00CC4C0B"/>
    <w:rsid w:val="00CD033D"/>
    <w:rsid w:val="00CD0B2A"/>
    <w:rsid w:val="00CD1930"/>
    <w:rsid w:val="00CD1AAC"/>
    <w:rsid w:val="00CD2746"/>
    <w:rsid w:val="00CD33FD"/>
    <w:rsid w:val="00CD341F"/>
    <w:rsid w:val="00CD4862"/>
    <w:rsid w:val="00CD49D6"/>
    <w:rsid w:val="00CD4A62"/>
    <w:rsid w:val="00CD4CCC"/>
    <w:rsid w:val="00CD56B1"/>
    <w:rsid w:val="00CD59A4"/>
    <w:rsid w:val="00CD59F9"/>
    <w:rsid w:val="00CD7A47"/>
    <w:rsid w:val="00CE0623"/>
    <w:rsid w:val="00CE16F8"/>
    <w:rsid w:val="00CE3120"/>
    <w:rsid w:val="00CE3270"/>
    <w:rsid w:val="00CE3297"/>
    <w:rsid w:val="00CE5E8F"/>
    <w:rsid w:val="00CE6046"/>
    <w:rsid w:val="00CE6905"/>
    <w:rsid w:val="00CE7768"/>
    <w:rsid w:val="00CE7C7B"/>
    <w:rsid w:val="00CE7C93"/>
    <w:rsid w:val="00CF0652"/>
    <w:rsid w:val="00CF2D80"/>
    <w:rsid w:val="00CF4012"/>
    <w:rsid w:val="00CF518E"/>
    <w:rsid w:val="00CF5FCA"/>
    <w:rsid w:val="00CF61CD"/>
    <w:rsid w:val="00CF632E"/>
    <w:rsid w:val="00CF6DF9"/>
    <w:rsid w:val="00D00E60"/>
    <w:rsid w:val="00D015F9"/>
    <w:rsid w:val="00D04922"/>
    <w:rsid w:val="00D050D2"/>
    <w:rsid w:val="00D05316"/>
    <w:rsid w:val="00D059A4"/>
    <w:rsid w:val="00D060CD"/>
    <w:rsid w:val="00D0616D"/>
    <w:rsid w:val="00D10033"/>
    <w:rsid w:val="00D1003F"/>
    <w:rsid w:val="00D10410"/>
    <w:rsid w:val="00D11CD9"/>
    <w:rsid w:val="00D1276C"/>
    <w:rsid w:val="00D12826"/>
    <w:rsid w:val="00D145E4"/>
    <w:rsid w:val="00D15EF8"/>
    <w:rsid w:val="00D16AB4"/>
    <w:rsid w:val="00D17257"/>
    <w:rsid w:val="00D177D9"/>
    <w:rsid w:val="00D2033C"/>
    <w:rsid w:val="00D20496"/>
    <w:rsid w:val="00D20BC4"/>
    <w:rsid w:val="00D2109C"/>
    <w:rsid w:val="00D210F4"/>
    <w:rsid w:val="00D2112E"/>
    <w:rsid w:val="00D219EC"/>
    <w:rsid w:val="00D21BCC"/>
    <w:rsid w:val="00D22D9A"/>
    <w:rsid w:val="00D23742"/>
    <w:rsid w:val="00D23FE9"/>
    <w:rsid w:val="00D242B2"/>
    <w:rsid w:val="00D2468C"/>
    <w:rsid w:val="00D24A03"/>
    <w:rsid w:val="00D26B2C"/>
    <w:rsid w:val="00D26D88"/>
    <w:rsid w:val="00D27955"/>
    <w:rsid w:val="00D27BDF"/>
    <w:rsid w:val="00D27C22"/>
    <w:rsid w:val="00D3065B"/>
    <w:rsid w:val="00D3091C"/>
    <w:rsid w:val="00D30CF0"/>
    <w:rsid w:val="00D315EC"/>
    <w:rsid w:val="00D31EBD"/>
    <w:rsid w:val="00D323B3"/>
    <w:rsid w:val="00D3241D"/>
    <w:rsid w:val="00D32CE4"/>
    <w:rsid w:val="00D32D53"/>
    <w:rsid w:val="00D3376E"/>
    <w:rsid w:val="00D34E06"/>
    <w:rsid w:val="00D34FCD"/>
    <w:rsid w:val="00D36154"/>
    <w:rsid w:val="00D369BD"/>
    <w:rsid w:val="00D4020C"/>
    <w:rsid w:val="00D408C4"/>
    <w:rsid w:val="00D4112F"/>
    <w:rsid w:val="00D41770"/>
    <w:rsid w:val="00D41A46"/>
    <w:rsid w:val="00D41A7A"/>
    <w:rsid w:val="00D41EBD"/>
    <w:rsid w:val="00D42F1A"/>
    <w:rsid w:val="00D438CD"/>
    <w:rsid w:val="00D453E9"/>
    <w:rsid w:val="00D458AF"/>
    <w:rsid w:val="00D45AC4"/>
    <w:rsid w:val="00D4643A"/>
    <w:rsid w:val="00D464A7"/>
    <w:rsid w:val="00D468B2"/>
    <w:rsid w:val="00D46AD0"/>
    <w:rsid w:val="00D47909"/>
    <w:rsid w:val="00D479DA"/>
    <w:rsid w:val="00D47DBF"/>
    <w:rsid w:val="00D50743"/>
    <w:rsid w:val="00D50B4D"/>
    <w:rsid w:val="00D50D32"/>
    <w:rsid w:val="00D51439"/>
    <w:rsid w:val="00D515CF"/>
    <w:rsid w:val="00D51808"/>
    <w:rsid w:val="00D527D8"/>
    <w:rsid w:val="00D52E3B"/>
    <w:rsid w:val="00D53E5E"/>
    <w:rsid w:val="00D567DE"/>
    <w:rsid w:val="00D574CB"/>
    <w:rsid w:val="00D57541"/>
    <w:rsid w:val="00D607E8"/>
    <w:rsid w:val="00D6092B"/>
    <w:rsid w:val="00D60B45"/>
    <w:rsid w:val="00D611AC"/>
    <w:rsid w:val="00D61AAB"/>
    <w:rsid w:val="00D61B42"/>
    <w:rsid w:val="00D61ECF"/>
    <w:rsid w:val="00D61F52"/>
    <w:rsid w:val="00D629FE"/>
    <w:rsid w:val="00D632B9"/>
    <w:rsid w:val="00D632BF"/>
    <w:rsid w:val="00D63334"/>
    <w:rsid w:val="00D63CDF"/>
    <w:rsid w:val="00D6534B"/>
    <w:rsid w:val="00D66E33"/>
    <w:rsid w:val="00D67DD0"/>
    <w:rsid w:val="00D67DDB"/>
    <w:rsid w:val="00D70965"/>
    <w:rsid w:val="00D71DB5"/>
    <w:rsid w:val="00D72A90"/>
    <w:rsid w:val="00D72B60"/>
    <w:rsid w:val="00D739AA"/>
    <w:rsid w:val="00D744F0"/>
    <w:rsid w:val="00D74667"/>
    <w:rsid w:val="00D7480A"/>
    <w:rsid w:val="00D7504D"/>
    <w:rsid w:val="00D7519B"/>
    <w:rsid w:val="00D76D69"/>
    <w:rsid w:val="00D80474"/>
    <w:rsid w:val="00D82DCE"/>
    <w:rsid w:val="00D86724"/>
    <w:rsid w:val="00D86DFE"/>
    <w:rsid w:val="00D8784A"/>
    <w:rsid w:val="00D87A62"/>
    <w:rsid w:val="00D87F57"/>
    <w:rsid w:val="00D90071"/>
    <w:rsid w:val="00D911A0"/>
    <w:rsid w:val="00D91C6D"/>
    <w:rsid w:val="00D9273A"/>
    <w:rsid w:val="00D928AF"/>
    <w:rsid w:val="00D92DA5"/>
    <w:rsid w:val="00D92EEF"/>
    <w:rsid w:val="00D934EB"/>
    <w:rsid w:val="00D93852"/>
    <w:rsid w:val="00D9528F"/>
    <w:rsid w:val="00D9588E"/>
    <w:rsid w:val="00D95C7B"/>
    <w:rsid w:val="00D96958"/>
    <w:rsid w:val="00D969F2"/>
    <w:rsid w:val="00D979F9"/>
    <w:rsid w:val="00DA056B"/>
    <w:rsid w:val="00DA1533"/>
    <w:rsid w:val="00DA2D90"/>
    <w:rsid w:val="00DA4767"/>
    <w:rsid w:val="00DA635E"/>
    <w:rsid w:val="00DA7028"/>
    <w:rsid w:val="00DA73DC"/>
    <w:rsid w:val="00DA760D"/>
    <w:rsid w:val="00DA7EAD"/>
    <w:rsid w:val="00DB1349"/>
    <w:rsid w:val="00DB14B3"/>
    <w:rsid w:val="00DB3D27"/>
    <w:rsid w:val="00DB461B"/>
    <w:rsid w:val="00DB5019"/>
    <w:rsid w:val="00DB506C"/>
    <w:rsid w:val="00DB5465"/>
    <w:rsid w:val="00DB54B2"/>
    <w:rsid w:val="00DB64A0"/>
    <w:rsid w:val="00DB74AB"/>
    <w:rsid w:val="00DC107C"/>
    <w:rsid w:val="00DC170B"/>
    <w:rsid w:val="00DC387C"/>
    <w:rsid w:val="00DC43F6"/>
    <w:rsid w:val="00DC4D22"/>
    <w:rsid w:val="00DC5B21"/>
    <w:rsid w:val="00DC5BCF"/>
    <w:rsid w:val="00DC62B9"/>
    <w:rsid w:val="00DD0E5E"/>
    <w:rsid w:val="00DD14D3"/>
    <w:rsid w:val="00DD39C6"/>
    <w:rsid w:val="00DD4AAF"/>
    <w:rsid w:val="00DD5776"/>
    <w:rsid w:val="00DD7EBF"/>
    <w:rsid w:val="00DE1419"/>
    <w:rsid w:val="00DE2953"/>
    <w:rsid w:val="00DE3A72"/>
    <w:rsid w:val="00DE69FA"/>
    <w:rsid w:val="00DE6FD4"/>
    <w:rsid w:val="00DE783B"/>
    <w:rsid w:val="00DF0392"/>
    <w:rsid w:val="00DF050B"/>
    <w:rsid w:val="00DF1006"/>
    <w:rsid w:val="00DF2546"/>
    <w:rsid w:val="00DF2CCD"/>
    <w:rsid w:val="00DF34D5"/>
    <w:rsid w:val="00DF3A6C"/>
    <w:rsid w:val="00DF3EB2"/>
    <w:rsid w:val="00DF652B"/>
    <w:rsid w:val="00DF6687"/>
    <w:rsid w:val="00DF70BE"/>
    <w:rsid w:val="00E007FA"/>
    <w:rsid w:val="00E0216C"/>
    <w:rsid w:val="00E032F7"/>
    <w:rsid w:val="00E035E8"/>
    <w:rsid w:val="00E039E4"/>
    <w:rsid w:val="00E0516A"/>
    <w:rsid w:val="00E05234"/>
    <w:rsid w:val="00E0617A"/>
    <w:rsid w:val="00E0650B"/>
    <w:rsid w:val="00E07635"/>
    <w:rsid w:val="00E07BFC"/>
    <w:rsid w:val="00E10BA5"/>
    <w:rsid w:val="00E116B3"/>
    <w:rsid w:val="00E11F09"/>
    <w:rsid w:val="00E1295D"/>
    <w:rsid w:val="00E13E5E"/>
    <w:rsid w:val="00E14185"/>
    <w:rsid w:val="00E14323"/>
    <w:rsid w:val="00E15A8F"/>
    <w:rsid w:val="00E15DE8"/>
    <w:rsid w:val="00E165BD"/>
    <w:rsid w:val="00E16A97"/>
    <w:rsid w:val="00E1700C"/>
    <w:rsid w:val="00E2106A"/>
    <w:rsid w:val="00E21B86"/>
    <w:rsid w:val="00E21F09"/>
    <w:rsid w:val="00E226C7"/>
    <w:rsid w:val="00E23361"/>
    <w:rsid w:val="00E23714"/>
    <w:rsid w:val="00E24D4C"/>
    <w:rsid w:val="00E27A5F"/>
    <w:rsid w:val="00E30244"/>
    <w:rsid w:val="00E30A37"/>
    <w:rsid w:val="00E31539"/>
    <w:rsid w:val="00E348FD"/>
    <w:rsid w:val="00E34E2C"/>
    <w:rsid w:val="00E359BE"/>
    <w:rsid w:val="00E35C2F"/>
    <w:rsid w:val="00E3659E"/>
    <w:rsid w:val="00E36BDB"/>
    <w:rsid w:val="00E372BD"/>
    <w:rsid w:val="00E374DA"/>
    <w:rsid w:val="00E37645"/>
    <w:rsid w:val="00E40067"/>
    <w:rsid w:val="00E400BF"/>
    <w:rsid w:val="00E40747"/>
    <w:rsid w:val="00E410CE"/>
    <w:rsid w:val="00E4111F"/>
    <w:rsid w:val="00E41131"/>
    <w:rsid w:val="00E42FEF"/>
    <w:rsid w:val="00E43FCF"/>
    <w:rsid w:val="00E44047"/>
    <w:rsid w:val="00E455CA"/>
    <w:rsid w:val="00E4606B"/>
    <w:rsid w:val="00E467E3"/>
    <w:rsid w:val="00E46FD8"/>
    <w:rsid w:val="00E50D7E"/>
    <w:rsid w:val="00E50DCF"/>
    <w:rsid w:val="00E541AE"/>
    <w:rsid w:val="00E55A03"/>
    <w:rsid w:val="00E55E6F"/>
    <w:rsid w:val="00E564A8"/>
    <w:rsid w:val="00E56E56"/>
    <w:rsid w:val="00E56FD0"/>
    <w:rsid w:val="00E57444"/>
    <w:rsid w:val="00E57ED2"/>
    <w:rsid w:val="00E57EFA"/>
    <w:rsid w:val="00E607A3"/>
    <w:rsid w:val="00E621E5"/>
    <w:rsid w:val="00E62544"/>
    <w:rsid w:val="00E62C3B"/>
    <w:rsid w:val="00E62DC2"/>
    <w:rsid w:val="00E642F5"/>
    <w:rsid w:val="00E64641"/>
    <w:rsid w:val="00E6685C"/>
    <w:rsid w:val="00E67100"/>
    <w:rsid w:val="00E70359"/>
    <w:rsid w:val="00E7095D"/>
    <w:rsid w:val="00E71297"/>
    <w:rsid w:val="00E712F4"/>
    <w:rsid w:val="00E72352"/>
    <w:rsid w:val="00E744B4"/>
    <w:rsid w:val="00E75A53"/>
    <w:rsid w:val="00E762A0"/>
    <w:rsid w:val="00E769DC"/>
    <w:rsid w:val="00E76C70"/>
    <w:rsid w:val="00E8037D"/>
    <w:rsid w:val="00E806F6"/>
    <w:rsid w:val="00E80E77"/>
    <w:rsid w:val="00E8162D"/>
    <w:rsid w:val="00E84FD4"/>
    <w:rsid w:val="00E85049"/>
    <w:rsid w:val="00E87DCB"/>
    <w:rsid w:val="00E9080C"/>
    <w:rsid w:val="00E9102E"/>
    <w:rsid w:val="00E93068"/>
    <w:rsid w:val="00E93C57"/>
    <w:rsid w:val="00E94785"/>
    <w:rsid w:val="00E96CCC"/>
    <w:rsid w:val="00E97983"/>
    <w:rsid w:val="00E97AFA"/>
    <w:rsid w:val="00EA0C94"/>
    <w:rsid w:val="00EA18F7"/>
    <w:rsid w:val="00EA1B00"/>
    <w:rsid w:val="00EA3EED"/>
    <w:rsid w:val="00EA4188"/>
    <w:rsid w:val="00EA47ED"/>
    <w:rsid w:val="00EA48A6"/>
    <w:rsid w:val="00EA5660"/>
    <w:rsid w:val="00EA627E"/>
    <w:rsid w:val="00EA6C27"/>
    <w:rsid w:val="00EA6CB5"/>
    <w:rsid w:val="00EA6D15"/>
    <w:rsid w:val="00EA6EF9"/>
    <w:rsid w:val="00EA7A70"/>
    <w:rsid w:val="00EA7C40"/>
    <w:rsid w:val="00EA7CD4"/>
    <w:rsid w:val="00EB0A13"/>
    <w:rsid w:val="00EB0AE2"/>
    <w:rsid w:val="00EB2B3E"/>
    <w:rsid w:val="00EB4395"/>
    <w:rsid w:val="00EB6519"/>
    <w:rsid w:val="00EC04A6"/>
    <w:rsid w:val="00EC0ABE"/>
    <w:rsid w:val="00EC0F39"/>
    <w:rsid w:val="00EC0F4C"/>
    <w:rsid w:val="00EC1739"/>
    <w:rsid w:val="00EC1E98"/>
    <w:rsid w:val="00EC20D0"/>
    <w:rsid w:val="00EC2696"/>
    <w:rsid w:val="00EC534C"/>
    <w:rsid w:val="00EC78A5"/>
    <w:rsid w:val="00EC78E3"/>
    <w:rsid w:val="00ED0A9D"/>
    <w:rsid w:val="00ED0BE0"/>
    <w:rsid w:val="00ED1749"/>
    <w:rsid w:val="00ED2FA3"/>
    <w:rsid w:val="00ED64D7"/>
    <w:rsid w:val="00ED68DB"/>
    <w:rsid w:val="00ED7822"/>
    <w:rsid w:val="00EE0259"/>
    <w:rsid w:val="00EE0699"/>
    <w:rsid w:val="00EE09ED"/>
    <w:rsid w:val="00EE10DD"/>
    <w:rsid w:val="00EE1456"/>
    <w:rsid w:val="00EE1DE5"/>
    <w:rsid w:val="00EE246B"/>
    <w:rsid w:val="00EE28B7"/>
    <w:rsid w:val="00EE427B"/>
    <w:rsid w:val="00EE44CD"/>
    <w:rsid w:val="00EE4D1A"/>
    <w:rsid w:val="00EE58B1"/>
    <w:rsid w:val="00EE5DB3"/>
    <w:rsid w:val="00EE650C"/>
    <w:rsid w:val="00EE7727"/>
    <w:rsid w:val="00EF2EF1"/>
    <w:rsid w:val="00EF329A"/>
    <w:rsid w:val="00EF4405"/>
    <w:rsid w:val="00EF462B"/>
    <w:rsid w:val="00EF5D34"/>
    <w:rsid w:val="00EF6E41"/>
    <w:rsid w:val="00EF6E4F"/>
    <w:rsid w:val="00F001CA"/>
    <w:rsid w:val="00F009F0"/>
    <w:rsid w:val="00F00E87"/>
    <w:rsid w:val="00F011FB"/>
    <w:rsid w:val="00F02CD0"/>
    <w:rsid w:val="00F03A34"/>
    <w:rsid w:val="00F0419B"/>
    <w:rsid w:val="00F04267"/>
    <w:rsid w:val="00F04628"/>
    <w:rsid w:val="00F04C3A"/>
    <w:rsid w:val="00F0509E"/>
    <w:rsid w:val="00F0613C"/>
    <w:rsid w:val="00F068D2"/>
    <w:rsid w:val="00F0703C"/>
    <w:rsid w:val="00F07E07"/>
    <w:rsid w:val="00F10F16"/>
    <w:rsid w:val="00F117E2"/>
    <w:rsid w:val="00F11D5F"/>
    <w:rsid w:val="00F12E90"/>
    <w:rsid w:val="00F12F15"/>
    <w:rsid w:val="00F13411"/>
    <w:rsid w:val="00F143AA"/>
    <w:rsid w:val="00F14667"/>
    <w:rsid w:val="00F147FC"/>
    <w:rsid w:val="00F15C6C"/>
    <w:rsid w:val="00F177F5"/>
    <w:rsid w:val="00F17D37"/>
    <w:rsid w:val="00F200BD"/>
    <w:rsid w:val="00F20317"/>
    <w:rsid w:val="00F20E5A"/>
    <w:rsid w:val="00F21B99"/>
    <w:rsid w:val="00F21C03"/>
    <w:rsid w:val="00F2377D"/>
    <w:rsid w:val="00F24208"/>
    <w:rsid w:val="00F255B2"/>
    <w:rsid w:val="00F263F7"/>
    <w:rsid w:val="00F26A0D"/>
    <w:rsid w:val="00F27446"/>
    <w:rsid w:val="00F276F7"/>
    <w:rsid w:val="00F27DB9"/>
    <w:rsid w:val="00F315BB"/>
    <w:rsid w:val="00F333C9"/>
    <w:rsid w:val="00F33674"/>
    <w:rsid w:val="00F33E76"/>
    <w:rsid w:val="00F34719"/>
    <w:rsid w:val="00F360DA"/>
    <w:rsid w:val="00F363D4"/>
    <w:rsid w:val="00F403A6"/>
    <w:rsid w:val="00F407A9"/>
    <w:rsid w:val="00F40CB9"/>
    <w:rsid w:val="00F40FD3"/>
    <w:rsid w:val="00F435CE"/>
    <w:rsid w:val="00F444A6"/>
    <w:rsid w:val="00F446EF"/>
    <w:rsid w:val="00F4495A"/>
    <w:rsid w:val="00F449D2"/>
    <w:rsid w:val="00F44B8F"/>
    <w:rsid w:val="00F45EC2"/>
    <w:rsid w:val="00F46339"/>
    <w:rsid w:val="00F46429"/>
    <w:rsid w:val="00F46D48"/>
    <w:rsid w:val="00F46EA2"/>
    <w:rsid w:val="00F47062"/>
    <w:rsid w:val="00F472CB"/>
    <w:rsid w:val="00F5066F"/>
    <w:rsid w:val="00F508A5"/>
    <w:rsid w:val="00F50FB5"/>
    <w:rsid w:val="00F51B1C"/>
    <w:rsid w:val="00F51D0C"/>
    <w:rsid w:val="00F542B9"/>
    <w:rsid w:val="00F5459C"/>
    <w:rsid w:val="00F54AC4"/>
    <w:rsid w:val="00F54C5E"/>
    <w:rsid w:val="00F5507D"/>
    <w:rsid w:val="00F55408"/>
    <w:rsid w:val="00F557D5"/>
    <w:rsid w:val="00F55913"/>
    <w:rsid w:val="00F55A21"/>
    <w:rsid w:val="00F55C3E"/>
    <w:rsid w:val="00F55CCF"/>
    <w:rsid w:val="00F56657"/>
    <w:rsid w:val="00F57051"/>
    <w:rsid w:val="00F57170"/>
    <w:rsid w:val="00F579A8"/>
    <w:rsid w:val="00F60944"/>
    <w:rsid w:val="00F62EB6"/>
    <w:rsid w:val="00F64182"/>
    <w:rsid w:val="00F645C6"/>
    <w:rsid w:val="00F6599A"/>
    <w:rsid w:val="00F67954"/>
    <w:rsid w:val="00F701F0"/>
    <w:rsid w:val="00F706A6"/>
    <w:rsid w:val="00F737BE"/>
    <w:rsid w:val="00F74580"/>
    <w:rsid w:val="00F745A9"/>
    <w:rsid w:val="00F75206"/>
    <w:rsid w:val="00F7533D"/>
    <w:rsid w:val="00F773BF"/>
    <w:rsid w:val="00F773CA"/>
    <w:rsid w:val="00F774AD"/>
    <w:rsid w:val="00F776C0"/>
    <w:rsid w:val="00F77F5D"/>
    <w:rsid w:val="00F81E8C"/>
    <w:rsid w:val="00F826AD"/>
    <w:rsid w:val="00F831DD"/>
    <w:rsid w:val="00F83476"/>
    <w:rsid w:val="00F83BC9"/>
    <w:rsid w:val="00F84360"/>
    <w:rsid w:val="00F847D4"/>
    <w:rsid w:val="00F85200"/>
    <w:rsid w:val="00F8524F"/>
    <w:rsid w:val="00F85568"/>
    <w:rsid w:val="00F86637"/>
    <w:rsid w:val="00F87498"/>
    <w:rsid w:val="00F87565"/>
    <w:rsid w:val="00F902A1"/>
    <w:rsid w:val="00F902DA"/>
    <w:rsid w:val="00F906B2"/>
    <w:rsid w:val="00F90EFD"/>
    <w:rsid w:val="00F919B2"/>
    <w:rsid w:val="00F91C76"/>
    <w:rsid w:val="00F92D21"/>
    <w:rsid w:val="00F930FB"/>
    <w:rsid w:val="00F9357B"/>
    <w:rsid w:val="00F94B87"/>
    <w:rsid w:val="00F95221"/>
    <w:rsid w:val="00F95390"/>
    <w:rsid w:val="00F96FF8"/>
    <w:rsid w:val="00F9708C"/>
    <w:rsid w:val="00F97187"/>
    <w:rsid w:val="00FA1254"/>
    <w:rsid w:val="00FA15B2"/>
    <w:rsid w:val="00FA2AD2"/>
    <w:rsid w:val="00FA2DB3"/>
    <w:rsid w:val="00FA2ECF"/>
    <w:rsid w:val="00FA39FF"/>
    <w:rsid w:val="00FA41BB"/>
    <w:rsid w:val="00FA6857"/>
    <w:rsid w:val="00FA75DD"/>
    <w:rsid w:val="00FB0095"/>
    <w:rsid w:val="00FB046F"/>
    <w:rsid w:val="00FB0561"/>
    <w:rsid w:val="00FB2A8B"/>
    <w:rsid w:val="00FB2C5A"/>
    <w:rsid w:val="00FB36D4"/>
    <w:rsid w:val="00FB3E08"/>
    <w:rsid w:val="00FB5FB4"/>
    <w:rsid w:val="00FB67F1"/>
    <w:rsid w:val="00FB6CF2"/>
    <w:rsid w:val="00FB78EB"/>
    <w:rsid w:val="00FC1366"/>
    <w:rsid w:val="00FC186D"/>
    <w:rsid w:val="00FC35A9"/>
    <w:rsid w:val="00FC4099"/>
    <w:rsid w:val="00FC6186"/>
    <w:rsid w:val="00FC78BB"/>
    <w:rsid w:val="00FD09F3"/>
    <w:rsid w:val="00FD107D"/>
    <w:rsid w:val="00FD26E0"/>
    <w:rsid w:val="00FD4453"/>
    <w:rsid w:val="00FD4942"/>
    <w:rsid w:val="00FD5462"/>
    <w:rsid w:val="00FD62EC"/>
    <w:rsid w:val="00FD6513"/>
    <w:rsid w:val="00FD718F"/>
    <w:rsid w:val="00FE02A6"/>
    <w:rsid w:val="00FE034C"/>
    <w:rsid w:val="00FE0ADE"/>
    <w:rsid w:val="00FE2F41"/>
    <w:rsid w:val="00FE31BE"/>
    <w:rsid w:val="00FE3203"/>
    <w:rsid w:val="00FE3D1F"/>
    <w:rsid w:val="00FE5581"/>
    <w:rsid w:val="00FE6E21"/>
    <w:rsid w:val="00FE6EDE"/>
    <w:rsid w:val="00FE7236"/>
    <w:rsid w:val="00FE7B5E"/>
    <w:rsid w:val="00FE7CFC"/>
    <w:rsid w:val="00FF0FC2"/>
    <w:rsid w:val="00FF204C"/>
    <w:rsid w:val="00FF2577"/>
    <w:rsid w:val="00FF2873"/>
    <w:rsid w:val="00FF3BE8"/>
    <w:rsid w:val="00FF4B2A"/>
    <w:rsid w:val="00FF4FC0"/>
    <w:rsid w:val="00FF6EDF"/>
    <w:rsid w:val="00FF7A34"/>
    <w:rsid w:val="00FF7F96"/>
  </w:rsids>
  <m:mathPr>
    <m:mathFont m:val="Cambria Math"/>
    <m:brkBin m:val="before"/>
    <m:brkBinSub m:val="--"/>
    <m:smallFrac m:val="off"/>
    <m:dispDef/>
    <m:lMargin m:val="0"/>
    <m:rMargin m:val="0"/>
    <m:defJc m:val="center"/>
    <m:wrapIndent m:val="576"/>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7"/>
    <o:shapelayout v:ext="edit">
      <o:idmap v:ext="edit" data="1"/>
      <o:rules v:ext="edit">
        <o:r id="V:Rule5" type="connector" idref="#_x0000_s1038"/>
        <o:r id="V:Rule6" type="connector" idref="#_x0000_s1037"/>
        <o:r id="V:Rule7" type="connector" idref="#_x0000_s1042"/>
        <o:r id="V:Rule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0613C"/>
    <w:rPr>
      <w:sz w:val="22"/>
      <w:szCs w:val="24"/>
      <w:lang w:eastAsia="en-US"/>
    </w:rPr>
  </w:style>
  <w:style w:type="paragraph" w:styleId="Heading1">
    <w:name w:val="heading 1"/>
    <w:basedOn w:val="Normal"/>
    <w:next w:val="BodyText"/>
    <w:qFormat/>
    <w:rsid w:val="00505476"/>
    <w:pPr>
      <w:keepNext/>
      <w:numPr>
        <w:numId w:val="2"/>
      </w:numPr>
      <w:pBdr>
        <w:bottom w:val="single" w:sz="12" w:space="1" w:color="9A7735"/>
      </w:pBdr>
      <w:spacing w:after="360"/>
      <w:outlineLvl w:val="0"/>
    </w:pPr>
    <w:rPr>
      <w:rFonts w:ascii="Arial" w:hAnsi="Arial"/>
      <w:caps/>
      <w:sz w:val="32"/>
    </w:rPr>
  </w:style>
  <w:style w:type="paragraph" w:styleId="Heading2">
    <w:name w:val="heading 2"/>
    <w:basedOn w:val="Normal"/>
    <w:next w:val="BodyText"/>
    <w:qFormat/>
    <w:rsid w:val="002628A3"/>
    <w:pPr>
      <w:keepNext/>
      <w:numPr>
        <w:ilvl w:val="1"/>
        <w:numId w:val="2"/>
      </w:numPr>
      <w:spacing w:before="240" w:after="240" w:line="260" w:lineRule="atLeast"/>
      <w:outlineLvl w:val="1"/>
    </w:pPr>
    <w:rPr>
      <w:rFonts w:ascii="Arial" w:hAnsi="Arial"/>
      <w:sz w:val="28"/>
      <w:szCs w:val="28"/>
    </w:rPr>
  </w:style>
  <w:style w:type="paragraph" w:styleId="Heading3">
    <w:name w:val="heading 3"/>
    <w:basedOn w:val="Normal"/>
    <w:next w:val="BodyText"/>
    <w:link w:val="Heading3Char"/>
    <w:qFormat/>
    <w:rsid w:val="00A54297"/>
    <w:pPr>
      <w:keepNext/>
      <w:spacing w:before="120" w:line="260" w:lineRule="atLeast"/>
      <w:outlineLvl w:val="2"/>
    </w:pPr>
    <w:rPr>
      <w:rFonts w:ascii="Arial" w:hAnsi="Arial"/>
      <w:b/>
    </w:rPr>
  </w:style>
  <w:style w:type="paragraph" w:styleId="Heading4">
    <w:name w:val="heading 4"/>
    <w:basedOn w:val="BodyText"/>
    <w:next w:val="BodyText"/>
    <w:qFormat/>
    <w:rsid w:val="00B83046"/>
    <w:pPr>
      <w:keepNext/>
      <w:spacing w:before="120" w:after="0"/>
      <w:outlineLvl w:val="3"/>
    </w:pPr>
    <w:rPr>
      <w:b/>
    </w:rPr>
  </w:style>
  <w:style w:type="paragraph" w:styleId="Heading9">
    <w:name w:val="heading 9"/>
    <w:basedOn w:val="Normal"/>
    <w:qFormat/>
    <w:rsid w:val="00682791"/>
    <w:pPr>
      <w:outlineLvl w:val="8"/>
    </w:pPr>
    <w:rPr>
      <w:rFonts w:cs="Arial"/>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B72D9"/>
    <w:pPr>
      <w:spacing w:after="240" w:line="260" w:lineRule="atLeast"/>
      <w:jc w:val="both"/>
    </w:pPr>
    <w:rPr>
      <w:szCs w:val="20"/>
    </w:rPr>
  </w:style>
  <w:style w:type="paragraph" w:customStyle="1" w:styleId="Bullet2nospace">
    <w:name w:val="Bullet 2 no space"/>
    <w:basedOn w:val="Bullet1"/>
    <w:rsid w:val="00E21B86"/>
    <w:pPr>
      <w:spacing w:after="0"/>
    </w:pPr>
  </w:style>
  <w:style w:type="paragraph" w:customStyle="1" w:styleId="Bullet1">
    <w:name w:val="Bullet 1"/>
    <w:basedOn w:val="BodyText"/>
    <w:rsid w:val="00411B40"/>
    <w:pPr>
      <w:numPr>
        <w:numId w:val="3"/>
      </w:numPr>
      <w:tabs>
        <w:tab w:val="clear" w:pos="1134"/>
        <w:tab w:val="left" w:pos="284"/>
      </w:tabs>
      <w:ind w:left="284" w:hanging="284"/>
    </w:pPr>
  </w:style>
  <w:style w:type="paragraph" w:styleId="Footer">
    <w:name w:val="footer"/>
    <w:basedOn w:val="Normal"/>
    <w:rsid w:val="00995115"/>
    <w:pPr>
      <w:tabs>
        <w:tab w:val="center" w:pos="4153"/>
        <w:tab w:val="right" w:pos="8306"/>
      </w:tabs>
    </w:pPr>
  </w:style>
  <w:style w:type="paragraph" w:styleId="FootnoteText">
    <w:name w:val="footnote text"/>
    <w:basedOn w:val="Normal"/>
    <w:semiHidden/>
    <w:rsid w:val="00C971A4"/>
    <w:rPr>
      <w:sz w:val="14"/>
      <w:szCs w:val="20"/>
    </w:rPr>
  </w:style>
  <w:style w:type="paragraph" w:styleId="Header">
    <w:name w:val="header"/>
    <w:basedOn w:val="Normal"/>
    <w:rsid w:val="00C64698"/>
    <w:pPr>
      <w:tabs>
        <w:tab w:val="center" w:pos="4253"/>
        <w:tab w:val="right" w:pos="8505"/>
      </w:tabs>
      <w:spacing w:line="200" w:lineRule="atLeast"/>
    </w:pPr>
    <w:rPr>
      <w:sz w:val="16"/>
      <w:szCs w:val="20"/>
    </w:rPr>
  </w:style>
  <w:style w:type="character" w:styleId="Hyperlink">
    <w:name w:val="Hyperlink"/>
    <w:basedOn w:val="DefaultParagraphFont"/>
    <w:uiPriority w:val="99"/>
    <w:rsid w:val="006C288C"/>
    <w:rPr>
      <w:color w:val="0000FF"/>
      <w:u w:val="single"/>
    </w:rPr>
  </w:style>
  <w:style w:type="paragraph" w:customStyle="1" w:styleId="Keypointtext">
    <w:name w:val="Key point text"/>
    <w:basedOn w:val="Normal"/>
    <w:rsid w:val="007B699A"/>
    <w:pPr>
      <w:spacing w:before="120" w:line="260" w:lineRule="atLeast"/>
    </w:pPr>
    <w:rPr>
      <w:rFonts w:ascii="Arial" w:hAnsi="Arial"/>
      <w:sz w:val="20"/>
    </w:rPr>
  </w:style>
  <w:style w:type="table" w:customStyle="1" w:styleId="TableMOE1">
    <w:name w:val="Table MOE 1"/>
    <w:basedOn w:val="TableNormal"/>
    <w:rsid w:val="004C1E7B"/>
    <w:pPr>
      <w:jc w:val="right"/>
    </w:pPr>
    <w:rPr>
      <w:rFonts w:ascii="Arial" w:hAnsi="Arial"/>
    </w:rPr>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table" w:styleId="TableGrid">
    <w:name w:val="Table Grid"/>
    <w:basedOn w:val="TableNormal"/>
    <w:rsid w:val="006152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semiHidden/>
    <w:rsid w:val="00A80F89"/>
    <w:rPr>
      <w:vertAlign w:val="superscript"/>
    </w:rPr>
  </w:style>
  <w:style w:type="paragraph" w:styleId="Caption">
    <w:name w:val="caption"/>
    <w:basedOn w:val="Normal"/>
    <w:next w:val="Normal"/>
    <w:qFormat/>
    <w:rsid w:val="00356E65"/>
    <w:pPr>
      <w:keepNext/>
      <w:spacing w:after="120"/>
    </w:pPr>
    <w:rPr>
      <w:rFonts w:ascii="Arial" w:hAnsi="Arial" w:cs="Arial"/>
      <w:b/>
      <w:bCs/>
      <w:sz w:val="20"/>
      <w:szCs w:val="20"/>
    </w:rPr>
  </w:style>
  <w:style w:type="character" w:styleId="PageNumber">
    <w:name w:val="page number"/>
    <w:basedOn w:val="DefaultParagraphFont"/>
    <w:semiHidden/>
    <w:rsid w:val="009930F4"/>
    <w:rPr>
      <w:rFonts w:ascii="Arial" w:hAnsi="Arial"/>
      <w:sz w:val="18"/>
    </w:rPr>
  </w:style>
  <w:style w:type="paragraph" w:customStyle="1" w:styleId="Tabletext">
    <w:name w:val="Table text"/>
    <w:basedOn w:val="Normal"/>
    <w:rsid w:val="00F45EC2"/>
    <w:pPr>
      <w:spacing w:line="220" w:lineRule="atLeast"/>
    </w:pPr>
    <w:rPr>
      <w:rFonts w:ascii="Arial" w:hAnsi="Arial"/>
      <w:sz w:val="15"/>
    </w:rPr>
  </w:style>
  <w:style w:type="paragraph" w:styleId="BalloonText">
    <w:name w:val="Balloon Text"/>
    <w:basedOn w:val="Normal"/>
    <w:semiHidden/>
    <w:rsid w:val="002541DD"/>
    <w:rPr>
      <w:rFonts w:cs="Tahoma"/>
      <w:sz w:val="16"/>
      <w:szCs w:val="16"/>
    </w:rPr>
  </w:style>
  <w:style w:type="paragraph" w:customStyle="1" w:styleId="Tableheading">
    <w:name w:val="Table heading"/>
    <w:basedOn w:val="Tabletext"/>
    <w:rsid w:val="00D24A03"/>
    <w:pPr>
      <w:keepNext/>
      <w:jc w:val="center"/>
    </w:pPr>
    <w:rPr>
      <w:b/>
    </w:rPr>
  </w:style>
  <w:style w:type="paragraph" w:styleId="TOC1">
    <w:name w:val="toc 1"/>
    <w:basedOn w:val="BodyText"/>
    <w:next w:val="Normal"/>
    <w:uiPriority w:val="39"/>
    <w:rsid w:val="00177D52"/>
    <w:pPr>
      <w:tabs>
        <w:tab w:val="right" w:pos="8222"/>
      </w:tabs>
      <w:spacing w:before="240" w:after="80" w:line="240" w:lineRule="auto"/>
      <w:ind w:left="567" w:right="709" w:hanging="567"/>
    </w:pPr>
    <w:rPr>
      <w:rFonts w:ascii="Arial" w:hAnsi="Arial" w:cs="Arial"/>
      <w:noProof/>
      <w:sz w:val="20"/>
    </w:rPr>
  </w:style>
  <w:style w:type="paragraph" w:styleId="TOC2">
    <w:name w:val="toc 2"/>
    <w:basedOn w:val="Normal"/>
    <w:next w:val="Normal"/>
    <w:uiPriority w:val="39"/>
    <w:rsid w:val="00F009F0"/>
    <w:pPr>
      <w:tabs>
        <w:tab w:val="right" w:pos="8222"/>
      </w:tabs>
      <w:spacing w:after="80"/>
      <w:ind w:left="1134" w:right="709" w:hanging="567"/>
    </w:pPr>
    <w:rPr>
      <w:rFonts w:ascii="Arial" w:hAnsi="Arial"/>
      <w:noProof/>
      <w:sz w:val="20"/>
    </w:rPr>
  </w:style>
  <w:style w:type="paragraph" w:styleId="TableofFigures">
    <w:name w:val="table of figures"/>
    <w:basedOn w:val="BodyText"/>
    <w:next w:val="Normal"/>
    <w:uiPriority w:val="99"/>
    <w:semiHidden/>
    <w:rsid w:val="006B595C"/>
    <w:pPr>
      <w:tabs>
        <w:tab w:val="right" w:pos="7598"/>
      </w:tabs>
      <w:spacing w:before="240" w:after="120" w:line="260" w:lineRule="exact"/>
      <w:ind w:right="851"/>
      <w:jc w:val="left"/>
    </w:pPr>
    <w:rPr>
      <w:rFonts w:ascii="Arial" w:hAnsi="Arial" w:cs="Arial"/>
      <w:sz w:val="18"/>
    </w:rPr>
  </w:style>
  <w:style w:type="paragraph" w:customStyle="1" w:styleId="Note">
    <w:name w:val="Note"/>
    <w:basedOn w:val="Normal"/>
    <w:next w:val="BodyText"/>
    <w:rsid w:val="002628A3"/>
    <w:pPr>
      <w:spacing w:before="120" w:after="240" w:line="180" w:lineRule="atLeast"/>
    </w:pPr>
    <w:rPr>
      <w:rFonts w:ascii="Arial" w:hAnsi="Arial"/>
      <w:sz w:val="14"/>
    </w:rPr>
  </w:style>
  <w:style w:type="paragraph" w:customStyle="1" w:styleId="Bullet1a">
    <w:name w:val="Bullet 1a"/>
    <w:basedOn w:val="Bullet1"/>
    <w:rsid w:val="00315AFE"/>
    <w:pPr>
      <w:tabs>
        <w:tab w:val="left" w:pos="567"/>
      </w:tabs>
      <w:ind w:left="568"/>
    </w:pPr>
  </w:style>
  <w:style w:type="paragraph" w:customStyle="1" w:styleId="Figurelabel">
    <w:name w:val="Figure label"/>
    <w:basedOn w:val="Caption"/>
    <w:next w:val="BodyText"/>
    <w:rsid w:val="009A7099"/>
    <w:rPr>
      <w:b w:val="0"/>
    </w:rPr>
  </w:style>
  <w:style w:type="paragraph" w:customStyle="1" w:styleId="Referencetext">
    <w:name w:val="Reference text"/>
    <w:basedOn w:val="BodyText"/>
    <w:qFormat/>
    <w:rsid w:val="00AD4BF0"/>
  </w:style>
  <w:style w:type="paragraph" w:styleId="Title">
    <w:name w:val="Title"/>
    <w:basedOn w:val="Normal"/>
    <w:qFormat/>
    <w:rsid w:val="002628A3"/>
    <w:pPr>
      <w:spacing w:after="120" w:line="620" w:lineRule="exact"/>
      <w:ind w:left="2552"/>
      <w:jc w:val="right"/>
      <w:outlineLvl w:val="0"/>
    </w:pPr>
    <w:rPr>
      <w:rFonts w:ascii="Arial" w:hAnsi="Arial"/>
      <w:color w:val="FFFFFF"/>
      <w:sz w:val="48"/>
    </w:rPr>
  </w:style>
  <w:style w:type="paragraph" w:customStyle="1" w:styleId="Insidecover">
    <w:name w:val="Inside cover"/>
    <w:basedOn w:val="Normal"/>
    <w:rsid w:val="004D1E17"/>
    <w:pPr>
      <w:ind w:left="-284"/>
    </w:pPr>
    <w:rPr>
      <w:rFonts w:ascii="Arial" w:hAnsi="Arial"/>
      <w:sz w:val="18"/>
    </w:rPr>
  </w:style>
  <w:style w:type="paragraph" w:customStyle="1" w:styleId="Heading">
    <w:name w:val="Heading"/>
    <w:basedOn w:val="Normal"/>
    <w:next w:val="BodyText"/>
    <w:rsid w:val="00505476"/>
    <w:pPr>
      <w:keepNext/>
      <w:pBdr>
        <w:bottom w:val="single" w:sz="12" w:space="1" w:color="9A7735"/>
      </w:pBdr>
      <w:tabs>
        <w:tab w:val="left" w:pos="567"/>
      </w:tabs>
      <w:spacing w:after="360"/>
    </w:pPr>
    <w:rPr>
      <w:rFonts w:ascii="Arial" w:hAnsi="Arial"/>
      <w:caps/>
      <w:sz w:val="32"/>
    </w:rPr>
  </w:style>
  <w:style w:type="paragraph" w:customStyle="1" w:styleId="Keypointheading">
    <w:name w:val="Key point heading"/>
    <w:basedOn w:val="Normal"/>
    <w:next w:val="Keypointtext"/>
    <w:rsid w:val="007B699A"/>
    <w:pPr>
      <w:spacing w:before="120"/>
    </w:pPr>
    <w:rPr>
      <w:rFonts w:ascii="Arial" w:hAnsi="Arial"/>
      <w:caps/>
      <w:sz w:val="20"/>
    </w:rPr>
  </w:style>
  <w:style w:type="paragraph" w:customStyle="1" w:styleId="FooterEvenPage">
    <w:name w:val="Footer Even Page"/>
    <w:basedOn w:val="FooterOddPage"/>
    <w:rsid w:val="00D04922"/>
    <w:pPr>
      <w:ind w:left="851" w:right="0"/>
      <w:jc w:val="left"/>
    </w:pPr>
  </w:style>
  <w:style w:type="paragraph" w:customStyle="1" w:styleId="FooterOddPage">
    <w:name w:val="Footer Odd Page"/>
    <w:basedOn w:val="Normal"/>
    <w:rsid w:val="00995115"/>
    <w:pPr>
      <w:spacing w:line="200" w:lineRule="atLeast"/>
      <w:ind w:right="851"/>
      <w:jc w:val="right"/>
    </w:pPr>
    <w:rPr>
      <w:rFonts w:ascii="Arial" w:hAnsi="Arial"/>
      <w:sz w:val="16"/>
      <w:szCs w:val="18"/>
    </w:rPr>
  </w:style>
  <w:style w:type="paragraph" w:customStyle="1" w:styleId="Figure-Table">
    <w:name w:val="Figure-Table #"/>
    <w:basedOn w:val="Normal"/>
    <w:rsid w:val="009A33C6"/>
    <w:pPr>
      <w:spacing w:before="240" w:after="120" w:line="260" w:lineRule="exact"/>
    </w:pPr>
    <w:rPr>
      <w:rFonts w:ascii="Arial" w:hAnsi="Arial" w:cs="Arial"/>
      <w:b/>
      <w:sz w:val="18"/>
    </w:rPr>
  </w:style>
  <w:style w:type="paragraph" w:customStyle="1" w:styleId="Tablelabel">
    <w:name w:val="Table label"/>
    <w:basedOn w:val="Caption"/>
    <w:next w:val="Normal"/>
    <w:rsid w:val="009A7099"/>
    <w:rPr>
      <w:b w:val="0"/>
    </w:rPr>
  </w:style>
  <w:style w:type="paragraph" w:customStyle="1" w:styleId="Bullet2a">
    <w:name w:val="Bullet 2a"/>
    <w:basedOn w:val="Bullet2nospace"/>
    <w:rsid w:val="00315AFE"/>
    <w:pPr>
      <w:tabs>
        <w:tab w:val="left" w:pos="567"/>
      </w:tabs>
      <w:ind w:left="568"/>
    </w:pPr>
  </w:style>
  <w:style w:type="table" w:customStyle="1" w:styleId="TableMOE2">
    <w:name w:val="Table MOE 2"/>
    <w:basedOn w:val="TableMOE1"/>
    <w:rsid w:val="004C1E7B"/>
    <w:tblPr>
      <w:tblStyleRowBandSize w:val="1"/>
      <w:tblInd w:w="57" w:type="dxa"/>
      <w:tblBorders>
        <w:top w:val="single" w:sz="4" w:space="0" w:color="7F7F7F"/>
        <w:left w:val="single" w:sz="4" w:space="0" w:color="7F7F7F"/>
        <w:bottom w:val="single" w:sz="4" w:space="0" w:color="7F7F7F"/>
        <w:right w:val="single" w:sz="4" w:space="0" w:color="7F7F7F"/>
        <w:insideV w:val="single" w:sz="4" w:space="0" w:color="7F7F7F"/>
      </w:tblBorders>
      <w:tblCellMar>
        <w:top w:w="57" w:type="dxa"/>
        <w:left w:w="57" w:type="dxa"/>
        <w:bottom w:w="57" w:type="dxa"/>
        <w:right w:w="57"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l2br w:val="nil"/>
          <w:tr2bl w:val="nil"/>
        </w:tcBorders>
        <w:shd w:val="clear" w:color="auto" w:fill="CDBB9A"/>
      </w:tcPr>
    </w:tblStylePr>
    <w:tblStylePr w:type="lastRow">
      <w:tblPr/>
      <w:tcPr>
        <w:tcBorders>
          <w:top w:val="nil"/>
          <w:left w:val="single" w:sz="4" w:space="0" w:color="7F7F7F"/>
          <w:bottom w:val="single" w:sz="4" w:space="0" w:color="7F7F7F"/>
          <w:right w:val="single" w:sz="4" w:space="0" w:color="7F7F7F"/>
          <w:insideH w:val="nil"/>
          <w:insideV w:val="single" w:sz="4" w:space="0" w:color="7F7F7F"/>
          <w:tl2br w:val="nil"/>
          <w:tr2bl w:val="nil"/>
        </w:tcBorders>
        <w:shd w:val="clear" w:color="auto" w:fill="CDBB9A"/>
      </w:tcPr>
    </w:tblStylePr>
    <w:tblStylePr w:type="firstCol">
      <w:pPr>
        <w:jc w:val="left"/>
      </w:pPr>
    </w:tblStylePr>
    <w:tblStylePr w:type="band1Horz">
      <w:tblPr/>
      <w:tcPr>
        <w:tcBorders>
          <w:top w:val="nil"/>
          <w:left w:val="single" w:sz="4" w:space="0" w:color="7F7F7F"/>
          <w:bottom w:val="nil"/>
          <w:right w:val="single" w:sz="4" w:space="0" w:color="7F7F7F"/>
          <w:insideH w:val="nil"/>
          <w:insideV w:val="single" w:sz="4" w:space="0" w:color="7F7F7F"/>
          <w:tl2br w:val="nil"/>
          <w:tr2bl w:val="nil"/>
        </w:tcBorders>
      </w:tcPr>
    </w:tblStylePr>
    <w:tblStylePr w:type="band2Horz">
      <w:tblPr/>
      <w:tcPr>
        <w:tcBorders>
          <w:top w:val="nil"/>
          <w:left w:val="single" w:sz="4" w:space="0" w:color="7F7F7F"/>
          <w:bottom w:val="nil"/>
          <w:right w:val="single" w:sz="4" w:space="0" w:color="7F7F7F"/>
          <w:insideH w:val="nil"/>
          <w:insideV w:val="single" w:sz="4" w:space="0" w:color="7F7F7F"/>
          <w:tl2br w:val="nil"/>
          <w:tr2bl w:val="nil"/>
        </w:tcBorders>
        <w:shd w:val="clear" w:color="auto" w:fill="CDBB9A"/>
      </w:tcPr>
    </w:tblStylePr>
  </w:style>
  <w:style w:type="paragraph" w:customStyle="1" w:styleId="Appendix">
    <w:name w:val="Appendix"/>
    <w:basedOn w:val="Heading1"/>
    <w:next w:val="BodyText"/>
    <w:rsid w:val="006D7677"/>
    <w:pPr>
      <w:numPr>
        <w:numId w:val="4"/>
      </w:numPr>
    </w:pPr>
  </w:style>
  <w:style w:type="table" w:customStyle="1" w:styleId="TableMOE3">
    <w:name w:val="Table MOE 3"/>
    <w:basedOn w:val="TableGrid"/>
    <w:rsid w:val="004C1E7B"/>
    <w:pPr>
      <w:jc w:val="right"/>
    </w:pPr>
    <w:rPr>
      <w:rFonts w:ascii="Arial" w:hAnsi="Arial"/>
    </w:rPr>
    <w:tblPr>
      <w:tblInd w:w="28" w:type="dxa"/>
      <w:tblBorders>
        <w:top w:val="single" w:sz="4" w:space="0" w:color="7F7F7F"/>
        <w:left w:val="single" w:sz="4" w:space="0" w:color="7F7F7F"/>
        <w:bottom w:val="single" w:sz="4" w:space="0" w:color="7F7F7F"/>
        <w:right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Titlesub">
    <w:name w:val="Title sub"/>
    <w:basedOn w:val="Title"/>
    <w:rsid w:val="002628A3"/>
    <w:pPr>
      <w:ind w:left="2835"/>
      <w:outlineLvl w:val="1"/>
    </w:pPr>
    <w:rPr>
      <w:i/>
      <w:sz w:val="40"/>
      <w:szCs w:val="40"/>
    </w:rPr>
  </w:style>
  <w:style w:type="paragraph" w:customStyle="1" w:styleId="Headingspaceafter">
    <w:name w:val="Heading (space after)"/>
    <w:basedOn w:val="Heading"/>
    <w:next w:val="BodyText"/>
    <w:rsid w:val="00BB72D9"/>
    <w:pPr>
      <w:spacing w:after="1200"/>
    </w:pPr>
    <w:rPr>
      <w:caps w:val="0"/>
      <w:sz w:val="36"/>
    </w:rPr>
  </w:style>
  <w:style w:type="table" w:customStyle="1" w:styleId="TableMOE4">
    <w:name w:val="Table MOE 4"/>
    <w:basedOn w:val="TableMOE3"/>
    <w:rsid w:val="004C1E7B"/>
    <w:tblPr>
      <w:tblInd w:w="28" w:type="dxa"/>
      <w:tblBorders>
        <w:top w:val="single" w:sz="4" w:space="0" w:color="7F7F7F"/>
        <w:left w:val="single" w:sz="4" w:space="0" w:color="7F7F7F"/>
        <w:bottom w:val="single" w:sz="4" w:space="0" w:color="7F7F7F"/>
        <w:right w:val="single" w:sz="4" w:space="0" w:color="7F7F7F"/>
        <w:insideH w:val="single" w:sz="4" w:space="0" w:color="7F7F7F"/>
      </w:tblBorders>
      <w:tblCellMar>
        <w:top w:w="28" w:type="dxa"/>
        <w:left w:w="28" w:type="dxa"/>
        <w:bottom w:w="28" w:type="dxa"/>
        <w:right w:w="28" w:type="dxa"/>
      </w:tblCellMar>
    </w:tblPr>
    <w:tblStylePr w:type="firstRow">
      <w:pPr>
        <w:jc w:val="center"/>
      </w:pPr>
      <w:tblPr/>
      <w:tcPr>
        <w:tcBorders>
          <w:top w:val="single" w:sz="4" w:space="0" w:color="7F7F7F"/>
          <w:left w:val="single" w:sz="4" w:space="0" w:color="7F7F7F"/>
          <w:bottom w:val="single" w:sz="4" w:space="0" w:color="7F7F7F"/>
          <w:right w:val="single" w:sz="4" w:space="0" w:color="7F7F7F"/>
          <w:insideH w:val="nil"/>
          <w:insideV w:val="nil"/>
          <w:tl2br w:val="nil"/>
          <w:tr2bl w:val="nil"/>
        </w:tcBorders>
      </w:tcPr>
    </w:tblStylePr>
    <w:tblStylePr w:type="firstCol">
      <w:pPr>
        <w:jc w:val="left"/>
      </w:pPr>
    </w:tblStylePr>
  </w:style>
  <w:style w:type="paragraph" w:customStyle="1" w:styleId="Heading1A">
    <w:name w:val="Heading 1A"/>
    <w:basedOn w:val="Normal"/>
    <w:next w:val="BodyText"/>
    <w:rsid w:val="00A554F4"/>
    <w:pPr>
      <w:spacing w:after="240" w:line="260" w:lineRule="atLeast"/>
      <w:jc w:val="both"/>
    </w:pPr>
    <w:rPr>
      <w:rFonts w:ascii="Arial" w:hAnsi="Arial" w:cs="Arial"/>
      <w:color w:val="9A7735"/>
      <w:sz w:val="24"/>
    </w:rPr>
  </w:style>
  <w:style w:type="paragraph" w:customStyle="1" w:styleId="Heading1BnotinTOC">
    <w:name w:val="Heading 1B (not in TOC)"/>
    <w:basedOn w:val="Normal"/>
    <w:next w:val="BodyText"/>
    <w:rsid w:val="002628A3"/>
    <w:pPr>
      <w:spacing w:after="240" w:line="260" w:lineRule="atLeast"/>
      <w:jc w:val="both"/>
    </w:pPr>
    <w:rPr>
      <w:rFonts w:ascii="Arial" w:hAnsi="Arial"/>
      <w:color w:val="9A7735"/>
      <w:sz w:val="24"/>
    </w:rPr>
  </w:style>
  <w:style w:type="paragraph" w:customStyle="1" w:styleId="Heading2a">
    <w:name w:val="Heading 2a"/>
    <w:basedOn w:val="Normal"/>
    <w:next w:val="BodyText"/>
    <w:rsid w:val="00104B5D"/>
    <w:pPr>
      <w:keepNext/>
      <w:numPr>
        <w:ilvl w:val="2"/>
        <w:numId w:val="2"/>
      </w:numPr>
      <w:spacing w:before="240" w:after="240" w:line="260" w:lineRule="atLeast"/>
    </w:pPr>
    <w:rPr>
      <w:rFonts w:ascii="Arial" w:hAnsi="Arial"/>
      <w:sz w:val="24"/>
    </w:rPr>
  </w:style>
  <w:style w:type="paragraph" w:customStyle="1" w:styleId="AppendixSub">
    <w:name w:val="Appendix Sub"/>
    <w:basedOn w:val="Appendix"/>
    <w:next w:val="BodyText"/>
    <w:rsid w:val="000678A6"/>
    <w:pPr>
      <w:numPr>
        <w:ilvl w:val="1"/>
      </w:numPr>
      <w:pBdr>
        <w:bottom w:val="none" w:sz="0" w:space="0" w:color="auto"/>
      </w:pBdr>
      <w:spacing w:before="240" w:after="240" w:line="260" w:lineRule="atLeast"/>
    </w:pPr>
    <w:rPr>
      <w:caps w:val="0"/>
      <w:sz w:val="28"/>
    </w:rPr>
  </w:style>
  <w:style w:type="character" w:styleId="PlaceholderText">
    <w:name w:val="Placeholder Text"/>
    <w:basedOn w:val="DefaultParagraphFont"/>
    <w:uiPriority w:val="99"/>
    <w:semiHidden/>
    <w:rsid w:val="00BE3923"/>
    <w:rPr>
      <w:color w:val="808080"/>
    </w:rPr>
  </w:style>
  <w:style w:type="paragraph" w:styleId="ListBullet">
    <w:name w:val="List Bullet"/>
    <w:basedOn w:val="Normal"/>
    <w:rsid w:val="003D5621"/>
    <w:pPr>
      <w:numPr>
        <w:numId w:val="1"/>
      </w:numPr>
      <w:contextualSpacing/>
    </w:pPr>
  </w:style>
  <w:style w:type="character" w:customStyle="1" w:styleId="Heading3Char">
    <w:name w:val="Heading 3 Char"/>
    <w:basedOn w:val="DefaultParagraphFont"/>
    <w:link w:val="Heading3"/>
    <w:rsid w:val="00D50743"/>
    <w:rPr>
      <w:rFonts w:ascii="Arial" w:hAnsi="Arial"/>
      <w:b/>
      <w:sz w:val="22"/>
      <w:szCs w:val="24"/>
      <w:lang w:eastAsia="en-US"/>
    </w:rPr>
  </w:style>
</w:styles>
</file>

<file path=word/webSettings.xml><?xml version="1.0" encoding="utf-8"?>
<w:webSettings xmlns:r="http://schemas.openxmlformats.org/officeDocument/2006/relationships" xmlns:w="http://schemas.openxmlformats.org/wordprocessingml/2006/main">
  <w:divs>
    <w:div w:id="265893581">
      <w:bodyDiv w:val="1"/>
      <w:marLeft w:val="0"/>
      <w:marRight w:val="0"/>
      <w:marTop w:val="0"/>
      <w:marBottom w:val="0"/>
      <w:divBdr>
        <w:top w:val="none" w:sz="0" w:space="0" w:color="auto"/>
        <w:left w:val="none" w:sz="0" w:space="0" w:color="auto"/>
        <w:bottom w:val="none" w:sz="0" w:space="0" w:color="auto"/>
        <w:right w:val="none" w:sz="0" w:space="0" w:color="auto"/>
      </w:divBdr>
    </w:div>
    <w:div w:id="309947131">
      <w:bodyDiv w:val="1"/>
      <w:marLeft w:val="0"/>
      <w:marRight w:val="0"/>
      <w:marTop w:val="0"/>
      <w:marBottom w:val="0"/>
      <w:divBdr>
        <w:top w:val="none" w:sz="0" w:space="0" w:color="auto"/>
        <w:left w:val="none" w:sz="0" w:space="0" w:color="auto"/>
        <w:bottom w:val="none" w:sz="0" w:space="0" w:color="auto"/>
        <w:right w:val="none" w:sz="0" w:space="0" w:color="auto"/>
      </w:divBdr>
    </w:div>
    <w:div w:id="1098410716">
      <w:bodyDiv w:val="1"/>
      <w:marLeft w:val="0"/>
      <w:marRight w:val="0"/>
      <w:marTop w:val="0"/>
      <w:marBottom w:val="0"/>
      <w:divBdr>
        <w:top w:val="none" w:sz="0" w:space="0" w:color="auto"/>
        <w:left w:val="none" w:sz="0" w:space="0" w:color="auto"/>
        <w:bottom w:val="none" w:sz="0" w:space="0" w:color="auto"/>
        <w:right w:val="none" w:sz="0" w:space="0" w:color="auto"/>
      </w:divBdr>
    </w:div>
    <w:div w:id="1104417767">
      <w:bodyDiv w:val="1"/>
      <w:marLeft w:val="0"/>
      <w:marRight w:val="0"/>
      <w:marTop w:val="0"/>
      <w:marBottom w:val="0"/>
      <w:divBdr>
        <w:top w:val="none" w:sz="0" w:space="0" w:color="auto"/>
        <w:left w:val="none" w:sz="0" w:space="0" w:color="auto"/>
        <w:bottom w:val="none" w:sz="0" w:space="0" w:color="auto"/>
        <w:right w:val="none" w:sz="0" w:space="0" w:color="auto"/>
      </w:divBdr>
    </w:div>
    <w:div w:id="1158569178">
      <w:bodyDiv w:val="1"/>
      <w:marLeft w:val="0"/>
      <w:marRight w:val="0"/>
      <w:marTop w:val="0"/>
      <w:marBottom w:val="0"/>
      <w:divBdr>
        <w:top w:val="none" w:sz="0" w:space="0" w:color="auto"/>
        <w:left w:val="none" w:sz="0" w:space="0" w:color="auto"/>
        <w:bottom w:val="none" w:sz="0" w:space="0" w:color="auto"/>
        <w:right w:val="none" w:sz="0" w:space="0" w:color="auto"/>
      </w:divBdr>
    </w:div>
    <w:div w:id="1212766215">
      <w:bodyDiv w:val="1"/>
      <w:marLeft w:val="0"/>
      <w:marRight w:val="0"/>
      <w:marTop w:val="0"/>
      <w:marBottom w:val="0"/>
      <w:divBdr>
        <w:top w:val="none" w:sz="0" w:space="0" w:color="auto"/>
        <w:left w:val="none" w:sz="0" w:space="0" w:color="auto"/>
        <w:bottom w:val="none" w:sz="0" w:space="0" w:color="auto"/>
        <w:right w:val="none" w:sz="0" w:space="0" w:color="auto"/>
      </w:divBdr>
    </w:div>
    <w:div w:id="1328677781">
      <w:bodyDiv w:val="1"/>
      <w:marLeft w:val="0"/>
      <w:marRight w:val="0"/>
      <w:marTop w:val="0"/>
      <w:marBottom w:val="0"/>
      <w:divBdr>
        <w:top w:val="none" w:sz="0" w:space="0" w:color="auto"/>
        <w:left w:val="none" w:sz="0" w:space="0" w:color="auto"/>
        <w:bottom w:val="none" w:sz="0" w:space="0" w:color="auto"/>
        <w:right w:val="none" w:sz="0" w:space="0" w:color="auto"/>
      </w:divBdr>
    </w:div>
    <w:div w:id="1415933110">
      <w:bodyDiv w:val="1"/>
      <w:marLeft w:val="0"/>
      <w:marRight w:val="0"/>
      <w:marTop w:val="0"/>
      <w:marBottom w:val="0"/>
      <w:divBdr>
        <w:top w:val="none" w:sz="0" w:space="0" w:color="auto"/>
        <w:left w:val="none" w:sz="0" w:space="0" w:color="auto"/>
        <w:bottom w:val="none" w:sz="0" w:space="0" w:color="auto"/>
        <w:right w:val="none" w:sz="0" w:space="0" w:color="auto"/>
      </w:divBdr>
    </w:div>
    <w:div w:id="1432361523">
      <w:bodyDiv w:val="1"/>
      <w:marLeft w:val="0"/>
      <w:marRight w:val="0"/>
      <w:marTop w:val="0"/>
      <w:marBottom w:val="0"/>
      <w:divBdr>
        <w:top w:val="none" w:sz="0" w:space="0" w:color="auto"/>
        <w:left w:val="none" w:sz="0" w:space="0" w:color="auto"/>
        <w:bottom w:val="none" w:sz="0" w:space="0" w:color="auto"/>
        <w:right w:val="none" w:sz="0" w:space="0" w:color="auto"/>
      </w:divBdr>
    </w:div>
    <w:div w:id="1468356261">
      <w:bodyDiv w:val="1"/>
      <w:marLeft w:val="0"/>
      <w:marRight w:val="0"/>
      <w:marTop w:val="0"/>
      <w:marBottom w:val="0"/>
      <w:divBdr>
        <w:top w:val="none" w:sz="0" w:space="0" w:color="auto"/>
        <w:left w:val="none" w:sz="0" w:space="0" w:color="auto"/>
        <w:bottom w:val="none" w:sz="0" w:space="0" w:color="auto"/>
        <w:right w:val="none" w:sz="0" w:space="0" w:color="auto"/>
      </w:divBdr>
    </w:div>
    <w:div w:id="1473056753">
      <w:bodyDiv w:val="1"/>
      <w:marLeft w:val="0"/>
      <w:marRight w:val="0"/>
      <w:marTop w:val="0"/>
      <w:marBottom w:val="0"/>
      <w:divBdr>
        <w:top w:val="none" w:sz="0" w:space="0" w:color="auto"/>
        <w:left w:val="none" w:sz="0" w:space="0" w:color="auto"/>
        <w:bottom w:val="none" w:sz="0" w:space="0" w:color="auto"/>
        <w:right w:val="none" w:sz="0" w:space="0" w:color="auto"/>
      </w:divBdr>
    </w:div>
    <w:div w:id="1674919757">
      <w:bodyDiv w:val="1"/>
      <w:marLeft w:val="0"/>
      <w:marRight w:val="0"/>
      <w:marTop w:val="0"/>
      <w:marBottom w:val="0"/>
      <w:divBdr>
        <w:top w:val="none" w:sz="0" w:space="0" w:color="auto"/>
        <w:left w:val="none" w:sz="0" w:space="0" w:color="auto"/>
        <w:bottom w:val="none" w:sz="0" w:space="0" w:color="auto"/>
        <w:right w:val="none" w:sz="0" w:space="0" w:color="auto"/>
      </w:divBdr>
    </w:div>
    <w:div w:id="1693720945">
      <w:bodyDiv w:val="1"/>
      <w:marLeft w:val="0"/>
      <w:marRight w:val="0"/>
      <w:marTop w:val="0"/>
      <w:marBottom w:val="0"/>
      <w:divBdr>
        <w:top w:val="none" w:sz="0" w:space="0" w:color="auto"/>
        <w:left w:val="none" w:sz="0" w:space="0" w:color="auto"/>
        <w:bottom w:val="none" w:sz="0" w:space="0" w:color="auto"/>
        <w:right w:val="none" w:sz="0" w:space="0" w:color="auto"/>
      </w:divBdr>
    </w:div>
    <w:div w:id="1867402493">
      <w:bodyDiv w:val="1"/>
      <w:marLeft w:val="0"/>
      <w:marRight w:val="0"/>
      <w:marTop w:val="0"/>
      <w:marBottom w:val="0"/>
      <w:divBdr>
        <w:top w:val="none" w:sz="0" w:space="0" w:color="auto"/>
        <w:left w:val="none" w:sz="0" w:space="0" w:color="auto"/>
        <w:bottom w:val="none" w:sz="0" w:space="0" w:color="auto"/>
        <w:right w:val="none" w:sz="0" w:space="0" w:color="auto"/>
      </w:divBdr>
      <w:divsChild>
        <w:div w:id="151533361">
          <w:marLeft w:val="0"/>
          <w:marRight w:val="0"/>
          <w:marTop w:val="0"/>
          <w:marBottom w:val="0"/>
          <w:divBdr>
            <w:top w:val="none" w:sz="0" w:space="0" w:color="auto"/>
            <w:left w:val="none" w:sz="0" w:space="0" w:color="auto"/>
            <w:bottom w:val="none" w:sz="0" w:space="0" w:color="auto"/>
            <w:right w:val="none" w:sz="0" w:space="0" w:color="auto"/>
          </w:divBdr>
        </w:div>
        <w:div w:id="627779753">
          <w:marLeft w:val="0"/>
          <w:marRight w:val="0"/>
          <w:marTop w:val="0"/>
          <w:marBottom w:val="0"/>
          <w:divBdr>
            <w:top w:val="none" w:sz="0" w:space="0" w:color="auto"/>
            <w:left w:val="none" w:sz="0" w:space="0" w:color="auto"/>
            <w:bottom w:val="none" w:sz="0" w:space="0" w:color="auto"/>
            <w:right w:val="none" w:sz="0" w:space="0" w:color="auto"/>
          </w:divBdr>
        </w:div>
        <w:div w:id="1903131306">
          <w:marLeft w:val="0"/>
          <w:marRight w:val="0"/>
          <w:marTop w:val="0"/>
          <w:marBottom w:val="0"/>
          <w:divBdr>
            <w:top w:val="none" w:sz="0" w:space="0" w:color="auto"/>
            <w:left w:val="none" w:sz="0" w:space="0" w:color="auto"/>
            <w:bottom w:val="none" w:sz="0" w:space="0" w:color="auto"/>
            <w:right w:val="none" w:sz="0" w:space="0" w:color="auto"/>
          </w:divBdr>
        </w:div>
      </w:divsChild>
    </w:div>
    <w:div w:id="195089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header" Target="header5.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footer" Target="footer2.xml"/><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7.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1.xml"/><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4.xml"/><Relationship Id="rId49" Type="http://schemas.openxmlformats.org/officeDocument/2006/relationships/image" Target="media/image35.e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0.emf"/><Relationship Id="rId52" Type="http://schemas.openxmlformats.org/officeDocument/2006/relationships/hyperlink" Target="http://www.stats.govt.nz/" TargetMode="External"/><Relationship Id="rId4" Type="http://schemas.openxmlformats.org/officeDocument/2006/relationships/settings" Target="settings.xml"/><Relationship Id="rId9" Type="http://schemas.openxmlformats.org/officeDocument/2006/relationships/hyperlink" Target="http://www.educationcounts.govt.nz/"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http://www.stats.govt.nz/browse_for_stats/snapshots-of-nz/integrated-data-infrastructure/privacy-impact-assessment-for-the-idi.asp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workandincome.govt.nz/individuals/brochures/moving-to-job-seeker-support-what-you-need-to-know.html" TargetMode="External"/><Relationship Id="rId1" Type="http://schemas.openxmlformats.org/officeDocument/2006/relationships/hyperlink" Target="http://www.ird.govt.nz/studentloans/payments/non-pay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7.jpeg"/></Relationships>
</file>

<file path=word/_rels/header7.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F45AF-4126-444F-816B-CEFB09DA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15569</Words>
  <Characters>81827</Characters>
  <Application>Microsoft Office Word</Application>
  <DocSecurity>0</DocSecurity>
  <Lines>3719</Lines>
  <Paragraphs>2434</Paragraphs>
  <ScaleCrop>false</ScaleCrop>
  <HeadingPairs>
    <vt:vector size="2" baseType="variant">
      <vt:variant>
        <vt:lpstr>Title</vt:lpstr>
      </vt:variant>
      <vt:variant>
        <vt:i4>1</vt:i4>
      </vt:variant>
    </vt:vector>
  </HeadingPairs>
  <TitlesOfParts>
    <vt:vector size="1" baseType="lpstr">
      <vt:lpstr>Report</vt:lpstr>
    </vt:vector>
  </TitlesOfParts>
  <Company>Ministry of Education</Company>
  <LinksUpToDate>false</LinksUpToDate>
  <CharactersWithSpaces>94962</CharactersWithSpaces>
  <SharedDoc>false</SharedDoc>
  <HLinks>
    <vt:vector size="138" baseType="variant">
      <vt:variant>
        <vt:i4>1900596</vt:i4>
      </vt:variant>
      <vt:variant>
        <vt:i4>140</vt:i4>
      </vt:variant>
      <vt:variant>
        <vt:i4>0</vt:i4>
      </vt:variant>
      <vt:variant>
        <vt:i4>5</vt:i4>
      </vt:variant>
      <vt:variant>
        <vt:lpwstr/>
      </vt:variant>
      <vt:variant>
        <vt:lpwstr>_Toc229990610</vt:lpwstr>
      </vt:variant>
      <vt:variant>
        <vt:i4>1835060</vt:i4>
      </vt:variant>
      <vt:variant>
        <vt:i4>134</vt:i4>
      </vt:variant>
      <vt:variant>
        <vt:i4>0</vt:i4>
      </vt:variant>
      <vt:variant>
        <vt:i4>5</vt:i4>
      </vt:variant>
      <vt:variant>
        <vt:lpwstr/>
      </vt:variant>
      <vt:variant>
        <vt:lpwstr>_Toc229990609</vt:lpwstr>
      </vt:variant>
      <vt:variant>
        <vt:i4>1835060</vt:i4>
      </vt:variant>
      <vt:variant>
        <vt:i4>128</vt:i4>
      </vt:variant>
      <vt:variant>
        <vt:i4>0</vt:i4>
      </vt:variant>
      <vt:variant>
        <vt:i4>5</vt:i4>
      </vt:variant>
      <vt:variant>
        <vt:lpwstr/>
      </vt:variant>
      <vt:variant>
        <vt:lpwstr>_Toc229990608</vt:lpwstr>
      </vt:variant>
      <vt:variant>
        <vt:i4>1835060</vt:i4>
      </vt:variant>
      <vt:variant>
        <vt:i4>122</vt:i4>
      </vt:variant>
      <vt:variant>
        <vt:i4>0</vt:i4>
      </vt:variant>
      <vt:variant>
        <vt:i4>5</vt:i4>
      </vt:variant>
      <vt:variant>
        <vt:lpwstr/>
      </vt:variant>
      <vt:variant>
        <vt:lpwstr>_Toc229990607</vt:lpwstr>
      </vt:variant>
      <vt:variant>
        <vt:i4>1835060</vt:i4>
      </vt:variant>
      <vt:variant>
        <vt:i4>116</vt:i4>
      </vt:variant>
      <vt:variant>
        <vt:i4>0</vt:i4>
      </vt:variant>
      <vt:variant>
        <vt:i4>5</vt:i4>
      </vt:variant>
      <vt:variant>
        <vt:lpwstr/>
      </vt:variant>
      <vt:variant>
        <vt:lpwstr>_Toc229990606</vt:lpwstr>
      </vt:variant>
      <vt:variant>
        <vt:i4>1376311</vt:i4>
      </vt:variant>
      <vt:variant>
        <vt:i4>107</vt:i4>
      </vt:variant>
      <vt:variant>
        <vt:i4>0</vt:i4>
      </vt:variant>
      <vt:variant>
        <vt:i4>5</vt:i4>
      </vt:variant>
      <vt:variant>
        <vt:lpwstr/>
      </vt:variant>
      <vt:variant>
        <vt:lpwstr>_Toc229990596</vt:lpwstr>
      </vt:variant>
      <vt:variant>
        <vt:i4>1310775</vt:i4>
      </vt:variant>
      <vt:variant>
        <vt:i4>98</vt:i4>
      </vt:variant>
      <vt:variant>
        <vt:i4>0</vt:i4>
      </vt:variant>
      <vt:variant>
        <vt:i4>5</vt:i4>
      </vt:variant>
      <vt:variant>
        <vt:lpwstr/>
      </vt:variant>
      <vt:variant>
        <vt:lpwstr>_Toc229990589</vt:lpwstr>
      </vt:variant>
      <vt:variant>
        <vt:i4>1310775</vt:i4>
      </vt:variant>
      <vt:variant>
        <vt:i4>92</vt:i4>
      </vt:variant>
      <vt:variant>
        <vt:i4>0</vt:i4>
      </vt:variant>
      <vt:variant>
        <vt:i4>5</vt:i4>
      </vt:variant>
      <vt:variant>
        <vt:lpwstr/>
      </vt:variant>
      <vt:variant>
        <vt:lpwstr>_Toc229990588</vt:lpwstr>
      </vt:variant>
      <vt:variant>
        <vt:i4>1310775</vt:i4>
      </vt:variant>
      <vt:variant>
        <vt:i4>86</vt:i4>
      </vt:variant>
      <vt:variant>
        <vt:i4>0</vt:i4>
      </vt:variant>
      <vt:variant>
        <vt:i4>5</vt:i4>
      </vt:variant>
      <vt:variant>
        <vt:lpwstr/>
      </vt:variant>
      <vt:variant>
        <vt:lpwstr>_Toc229990587</vt:lpwstr>
      </vt:variant>
      <vt:variant>
        <vt:i4>1310775</vt:i4>
      </vt:variant>
      <vt:variant>
        <vt:i4>80</vt:i4>
      </vt:variant>
      <vt:variant>
        <vt:i4>0</vt:i4>
      </vt:variant>
      <vt:variant>
        <vt:i4>5</vt:i4>
      </vt:variant>
      <vt:variant>
        <vt:lpwstr/>
      </vt:variant>
      <vt:variant>
        <vt:lpwstr>_Toc229990586</vt:lpwstr>
      </vt:variant>
      <vt:variant>
        <vt:i4>1310775</vt:i4>
      </vt:variant>
      <vt:variant>
        <vt:i4>74</vt:i4>
      </vt:variant>
      <vt:variant>
        <vt:i4>0</vt:i4>
      </vt:variant>
      <vt:variant>
        <vt:i4>5</vt:i4>
      </vt:variant>
      <vt:variant>
        <vt:lpwstr/>
      </vt:variant>
      <vt:variant>
        <vt:lpwstr>_Toc229990585</vt:lpwstr>
      </vt:variant>
      <vt:variant>
        <vt:i4>1310775</vt:i4>
      </vt:variant>
      <vt:variant>
        <vt:i4>68</vt:i4>
      </vt:variant>
      <vt:variant>
        <vt:i4>0</vt:i4>
      </vt:variant>
      <vt:variant>
        <vt:i4>5</vt:i4>
      </vt:variant>
      <vt:variant>
        <vt:lpwstr/>
      </vt:variant>
      <vt:variant>
        <vt:lpwstr>_Toc229990584</vt:lpwstr>
      </vt:variant>
      <vt:variant>
        <vt:i4>1310775</vt:i4>
      </vt:variant>
      <vt:variant>
        <vt:i4>62</vt:i4>
      </vt:variant>
      <vt:variant>
        <vt:i4>0</vt:i4>
      </vt:variant>
      <vt:variant>
        <vt:i4>5</vt:i4>
      </vt:variant>
      <vt:variant>
        <vt:lpwstr/>
      </vt:variant>
      <vt:variant>
        <vt:lpwstr>_Toc229990583</vt:lpwstr>
      </vt:variant>
      <vt:variant>
        <vt:i4>1310775</vt:i4>
      </vt:variant>
      <vt:variant>
        <vt:i4>56</vt:i4>
      </vt:variant>
      <vt:variant>
        <vt:i4>0</vt:i4>
      </vt:variant>
      <vt:variant>
        <vt:i4>5</vt:i4>
      </vt:variant>
      <vt:variant>
        <vt:lpwstr/>
      </vt:variant>
      <vt:variant>
        <vt:lpwstr>_Toc229990582</vt:lpwstr>
      </vt:variant>
      <vt:variant>
        <vt:i4>1310775</vt:i4>
      </vt:variant>
      <vt:variant>
        <vt:i4>50</vt:i4>
      </vt:variant>
      <vt:variant>
        <vt:i4>0</vt:i4>
      </vt:variant>
      <vt:variant>
        <vt:i4>5</vt:i4>
      </vt:variant>
      <vt:variant>
        <vt:lpwstr/>
      </vt:variant>
      <vt:variant>
        <vt:lpwstr>_Toc229990581</vt:lpwstr>
      </vt:variant>
      <vt:variant>
        <vt:i4>1310775</vt:i4>
      </vt:variant>
      <vt:variant>
        <vt:i4>44</vt:i4>
      </vt:variant>
      <vt:variant>
        <vt:i4>0</vt:i4>
      </vt:variant>
      <vt:variant>
        <vt:i4>5</vt:i4>
      </vt:variant>
      <vt:variant>
        <vt:lpwstr/>
      </vt:variant>
      <vt:variant>
        <vt:lpwstr>_Toc229990580</vt:lpwstr>
      </vt:variant>
      <vt:variant>
        <vt:i4>1769527</vt:i4>
      </vt:variant>
      <vt:variant>
        <vt:i4>38</vt:i4>
      </vt:variant>
      <vt:variant>
        <vt:i4>0</vt:i4>
      </vt:variant>
      <vt:variant>
        <vt:i4>5</vt:i4>
      </vt:variant>
      <vt:variant>
        <vt:lpwstr/>
      </vt:variant>
      <vt:variant>
        <vt:lpwstr>_Toc229990579</vt:lpwstr>
      </vt:variant>
      <vt:variant>
        <vt:i4>1769527</vt:i4>
      </vt:variant>
      <vt:variant>
        <vt:i4>32</vt:i4>
      </vt:variant>
      <vt:variant>
        <vt:i4>0</vt:i4>
      </vt:variant>
      <vt:variant>
        <vt:i4>5</vt:i4>
      </vt:variant>
      <vt:variant>
        <vt:lpwstr/>
      </vt:variant>
      <vt:variant>
        <vt:lpwstr>_Toc229990578</vt:lpwstr>
      </vt:variant>
      <vt:variant>
        <vt:i4>1769527</vt:i4>
      </vt:variant>
      <vt:variant>
        <vt:i4>26</vt:i4>
      </vt:variant>
      <vt:variant>
        <vt:i4>0</vt:i4>
      </vt:variant>
      <vt:variant>
        <vt:i4>5</vt:i4>
      </vt:variant>
      <vt:variant>
        <vt:lpwstr/>
      </vt:variant>
      <vt:variant>
        <vt:lpwstr>_Toc229990577</vt:lpwstr>
      </vt:variant>
      <vt:variant>
        <vt:i4>1769527</vt:i4>
      </vt:variant>
      <vt:variant>
        <vt:i4>20</vt:i4>
      </vt:variant>
      <vt:variant>
        <vt:i4>0</vt:i4>
      </vt:variant>
      <vt:variant>
        <vt:i4>5</vt:i4>
      </vt:variant>
      <vt:variant>
        <vt:lpwstr/>
      </vt:variant>
      <vt:variant>
        <vt:lpwstr>_Toc229990576</vt:lpwstr>
      </vt:variant>
      <vt:variant>
        <vt:i4>1769527</vt:i4>
      </vt:variant>
      <vt:variant>
        <vt:i4>14</vt:i4>
      </vt:variant>
      <vt:variant>
        <vt:i4>0</vt:i4>
      </vt:variant>
      <vt:variant>
        <vt:i4>5</vt:i4>
      </vt:variant>
      <vt:variant>
        <vt:lpwstr/>
      </vt:variant>
      <vt:variant>
        <vt:lpwstr>_Toc229990575</vt:lpwstr>
      </vt:variant>
      <vt:variant>
        <vt:i4>1769527</vt:i4>
      </vt:variant>
      <vt:variant>
        <vt:i4>8</vt:i4>
      </vt:variant>
      <vt:variant>
        <vt:i4>0</vt:i4>
      </vt:variant>
      <vt:variant>
        <vt:i4>5</vt:i4>
      </vt:variant>
      <vt:variant>
        <vt:lpwstr/>
      </vt:variant>
      <vt:variant>
        <vt:lpwstr>_Toc229990574</vt:lpwstr>
      </vt:variant>
      <vt:variant>
        <vt:i4>6946933</vt:i4>
      </vt:variant>
      <vt:variant>
        <vt:i4>0</vt:i4>
      </vt:variant>
      <vt:variant>
        <vt:i4>0</vt:i4>
      </vt:variant>
      <vt:variant>
        <vt:i4>5</vt:i4>
      </vt:variant>
      <vt:variant>
        <vt:lpwstr>http://www.educationcounts.govt.nz/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Ralf Engler</dc:creator>
  <cp:lastModifiedBy>Louise Howie</cp:lastModifiedBy>
  <cp:revision>2</cp:revision>
  <cp:lastPrinted>2014-04-22T21:00:00Z</cp:lastPrinted>
  <dcterms:created xsi:type="dcterms:W3CDTF">2014-06-11T23:35:00Z</dcterms:created>
  <dcterms:modified xsi:type="dcterms:W3CDTF">2014-06-11T23:35:00Z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